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48D6495B" w:rsidR="00AA0408" w:rsidRPr="00AA0408" w:rsidRDefault="00AA0408" w:rsidP="00AA0408">
      <w:pPr>
        <w:snapToGrid w:val="0"/>
        <w:spacing w:after="60"/>
        <w:jc w:val="right"/>
        <w:rPr>
          <w:bCs/>
          <w:color w:val="000000"/>
          <w:sz w:val="24"/>
          <w:szCs w:val="24"/>
        </w:rPr>
      </w:pPr>
      <w:r w:rsidRPr="00AA0408">
        <w:rPr>
          <w:color w:val="000000"/>
          <w:sz w:val="24"/>
          <w:szCs w:val="24"/>
        </w:rPr>
        <w:t>«</w:t>
      </w:r>
      <w:r w:rsidR="00F60F35">
        <w:rPr>
          <w:color w:val="000000"/>
          <w:sz w:val="24"/>
          <w:szCs w:val="24"/>
        </w:rPr>
        <w:t>15</w:t>
      </w:r>
      <w:r w:rsidRPr="00AA0408">
        <w:rPr>
          <w:color w:val="000000"/>
          <w:sz w:val="24"/>
          <w:szCs w:val="24"/>
        </w:rPr>
        <w:t xml:space="preserve">» </w:t>
      </w:r>
      <w:r w:rsidR="00A90896">
        <w:rPr>
          <w:color w:val="000000"/>
          <w:sz w:val="24"/>
          <w:szCs w:val="24"/>
        </w:rPr>
        <w:t>февраля</w:t>
      </w:r>
      <w:r w:rsidR="00364496">
        <w:rPr>
          <w:color w:val="000000"/>
          <w:sz w:val="24"/>
          <w:szCs w:val="24"/>
        </w:rPr>
        <w:t xml:space="preserve"> 2024</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F828D65"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 xml:space="preserve">«Оказание </w:t>
      </w:r>
      <w:r w:rsidR="00A269F9">
        <w:rPr>
          <w:b/>
          <w:sz w:val="32"/>
          <w:szCs w:val="32"/>
        </w:rPr>
        <w:t xml:space="preserve">транспортных </w:t>
      </w:r>
      <w:r w:rsidRPr="002770DD">
        <w:rPr>
          <w:b/>
          <w:sz w:val="32"/>
          <w:szCs w:val="32"/>
        </w:rPr>
        <w:t xml:space="preserve">услуг по перевозке </w:t>
      </w:r>
      <w:r w:rsidR="00A269F9">
        <w:rPr>
          <w:b/>
          <w:sz w:val="32"/>
          <w:szCs w:val="32"/>
        </w:rPr>
        <w:t>детей</w:t>
      </w:r>
      <w:r w:rsidR="00364496">
        <w:rPr>
          <w:b/>
          <w:sz w:val="32"/>
          <w:szCs w:val="32"/>
        </w:rPr>
        <w:t xml:space="preserve">» </w:t>
      </w:r>
      <w:r w:rsidR="00A269F9">
        <w:rPr>
          <w:b/>
          <w:sz w:val="32"/>
          <w:szCs w:val="32"/>
        </w:rPr>
        <w:t>для нужд</w:t>
      </w:r>
      <w:r w:rsidRPr="002770DD">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10641C07"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F60F35">
        <w:rPr>
          <w:b/>
          <w:sz w:val="24"/>
          <w:szCs w:val="24"/>
        </w:rPr>
        <w:t>4</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77777777" w:rsidR="00060C58" w:rsidRPr="00D0171E" w:rsidRDefault="002770DD" w:rsidP="00F34921">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 xml:space="preserve">«Оказание </w:t>
      </w:r>
      <w:r w:rsidR="00A269F9">
        <w:rPr>
          <w:b/>
          <w:i/>
          <w:color w:val="0000FF"/>
          <w:sz w:val="24"/>
          <w:szCs w:val="24"/>
        </w:rPr>
        <w:t xml:space="preserve">транспортных </w:t>
      </w:r>
      <w:r w:rsidRPr="002770DD">
        <w:rPr>
          <w:b/>
          <w:i/>
          <w:color w:val="0000FF"/>
          <w:sz w:val="24"/>
          <w:szCs w:val="24"/>
        </w:rPr>
        <w:t>услуг по перевозке</w:t>
      </w:r>
      <w:r w:rsidR="00A269F9">
        <w:rPr>
          <w:b/>
          <w:i/>
          <w:color w:val="0000FF"/>
          <w:sz w:val="24"/>
          <w:szCs w:val="24"/>
        </w:rPr>
        <w:t xml:space="preserve"> детей</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77777777" w:rsidR="00E32972" w:rsidRPr="00E32972" w:rsidRDefault="002770DD" w:rsidP="00F34921">
      <w:pPr>
        <w:widowControl w:val="0"/>
        <w:numPr>
          <w:ilvl w:val="2"/>
          <w:numId w:val="67"/>
        </w:numPr>
        <w:ind w:left="0" w:firstLine="539"/>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Оказание </w:t>
      </w:r>
      <w:r w:rsidR="00A269F9">
        <w:rPr>
          <w:bCs/>
          <w:sz w:val="24"/>
          <w:szCs w:val="24"/>
        </w:rPr>
        <w:t xml:space="preserve">транспортных </w:t>
      </w:r>
      <w:r w:rsidRPr="002770DD">
        <w:rPr>
          <w:bCs/>
          <w:sz w:val="24"/>
          <w:szCs w:val="24"/>
        </w:rPr>
        <w:t xml:space="preserve">услуг по перевозке </w:t>
      </w:r>
      <w:r w:rsidR="00A269F9">
        <w:rPr>
          <w:bCs/>
          <w:sz w:val="24"/>
          <w:szCs w:val="24"/>
        </w:rPr>
        <w:t>детей</w:t>
      </w:r>
      <w:r w:rsidR="00E32972">
        <w:rPr>
          <w:bCs/>
          <w:color w:val="000000"/>
          <w:sz w:val="24"/>
          <w:szCs w:val="24"/>
        </w:rPr>
        <w:t>.</w:t>
      </w:r>
    </w:p>
    <w:p w14:paraId="2DEE1AF5" w14:textId="729D251B"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364496">
        <w:rPr>
          <w:bCs/>
          <w:sz w:val="24"/>
          <w:szCs w:val="24"/>
          <w:lang w:eastAsia="ar-SA"/>
        </w:rPr>
        <w:t>4</w:t>
      </w:r>
      <w:r w:rsidRPr="002770DD">
        <w:rPr>
          <w:bCs/>
          <w:sz w:val="24"/>
          <w:szCs w:val="24"/>
          <w:lang w:eastAsia="ar-SA"/>
        </w:rPr>
        <w:t xml:space="preserve"> - «Оказание </w:t>
      </w:r>
      <w:r w:rsidR="00BC49BC">
        <w:rPr>
          <w:bCs/>
          <w:sz w:val="24"/>
          <w:szCs w:val="24"/>
          <w:lang w:eastAsia="ar-SA"/>
        </w:rPr>
        <w:t xml:space="preserve">транспортных </w:t>
      </w:r>
      <w:r w:rsidRPr="002770DD">
        <w:rPr>
          <w:bCs/>
          <w:sz w:val="24"/>
          <w:szCs w:val="24"/>
          <w:lang w:eastAsia="ar-SA"/>
        </w:rPr>
        <w:t>услуг по перевозке</w:t>
      </w:r>
      <w:r w:rsidR="00BC49BC">
        <w:rPr>
          <w:bCs/>
          <w:sz w:val="24"/>
          <w:szCs w:val="24"/>
          <w:lang w:eastAsia="ar-SA"/>
        </w:rPr>
        <w:t xml:space="preserve"> детей</w:t>
      </w:r>
      <w:r w:rsidRPr="002770DD">
        <w:rPr>
          <w:bCs/>
          <w:sz w:val="24"/>
          <w:szCs w:val="24"/>
          <w:lang w:eastAsia="ar-SA"/>
        </w:rPr>
        <w:t>».</w:t>
      </w:r>
    </w:p>
    <w:p w14:paraId="228CEB51" w14:textId="1327F362"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364496">
        <w:rPr>
          <w:bCs/>
          <w:sz w:val="24"/>
          <w:szCs w:val="24"/>
          <w:lang w:eastAsia="ar-SA"/>
        </w:rPr>
        <w:t>4</w:t>
      </w:r>
      <w:r w:rsidRPr="002770DD">
        <w:rPr>
          <w:bCs/>
          <w:sz w:val="24"/>
          <w:szCs w:val="24"/>
          <w:lang w:eastAsia="ar-SA"/>
        </w:rPr>
        <w:t>07, Лот № 0</w:t>
      </w:r>
      <w:r w:rsidR="00364496">
        <w:rPr>
          <w:bCs/>
          <w:sz w:val="24"/>
          <w:szCs w:val="24"/>
          <w:lang w:eastAsia="ar-SA"/>
        </w:rPr>
        <w:t>12</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14:paraId="132C52C1" w14:textId="77777777" w:rsidR="00A269F9" w:rsidRDefault="002770DD" w:rsidP="00A269F9">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A269F9" w:rsidRPr="002770DD">
        <w:rPr>
          <w:b/>
          <w:sz w:val="24"/>
          <w:szCs w:val="24"/>
        </w:rPr>
        <w:t xml:space="preserve">Место оказания услуг: </w:t>
      </w:r>
      <w:r w:rsidR="00A269F9" w:rsidRPr="00FF01C8">
        <w:rPr>
          <w:sz w:val="24"/>
          <w:szCs w:val="24"/>
        </w:rPr>
        <w:t>Республика Мордовия</w:t>
      </w:r>
      <w:r w:rsidR="00A269F9">
        <w:rPr>
          <w:sz w:val="24"/>
          <w:szCs w:val="24"/>
        </w:rPr>
        <w:t>.</w:t>
      </w:r>
    </w:p>
    <w:p w14:paraId="266F5ECD" w14:textId="77777777" w:rsidR="00FF01C8" w:rsidRDefault="00A269F9" w:rsidP="00A269F9">
      <w:pPr>
        <w:ind w:firstLine="567"/>
        <w:jc w:val="both"/>
        <w:rPr>
          <w:color w:val="0000FF"/>
          <w:sz w:val="24"/>
          <w:szCs w:val="24"/>
        </w:rPr>
      </w:pPr>
      <w:r w:rsidRPr="00A269F9">
        <w:rPr>
          <w:rFonts w:eastAsia="Calibri"/>
          <w:color w:val="0000FF"/>
          <w:sz w:val="24"/>
          <w:szCs w:val="24"/>
          <w:lang w:eastAsia="en-US"/>
        </w:rPr>
        <w:t xml:space="preserve"> 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r w:rsidRPr="00A269F9">
        <w:rPr>
          <w:color w:val="000000"/>
          <w:sz w:val="24"/>
          <w:szCs w:val="24"/>
        </w:rPr>
        <w:t xml:space="preserve"> не позднее, чем за 3 (три) дня до даты начала оказания услуг</w:t>
      </w:r>
      <w:r w:rsidR="00FF01C8">
        <w:rPr>
          <w:color w:val="0000FF"/>
          <w:sz w:val="24"/>
          <w:szCs w:val="24"/>
        </w:rPr>
        <w:t>.</w:t>
      </w:r>
    </w:p>
    <w:p w14:paraId="1994AA27" w14:textId="77777777" w:rsidR="00A269F9" w:rsidRPr="00A269F9" w:rsidRDefault="00A269F9" w:rsidP="00A269F9">
      <w:pPr>
        <w:widowControl w:val="0"/>
        <w:contextualSpacing/>
        <w:jc w:val="both"/>
        <w:rPr>
          <w:sz w:val="24"/>
          <w:szCs w:val="24"/>
        </w:rPr>
      </w:pPr>
      <w:r>
        <w:rPr>
          <w:b/>
          <w:sz w:val="24"/>
          <w:szCs w:val="24"/>
        </w:rPr>
        <w:t xml:space="preserve">          </w:t>
      </w:r>
      <w:r w:rsidRPr="00A269F9">
        <w:rPr>
          <w:b/>
          <w:sz w:val="24"/>
          <w:szCs w:val="24"/>
        </w:rPr>
        <w:t>Маршрут:</w:t>
      </w:r>
      <w:r w:rsidRPr="00A269F9">
        <w:rPr>
          <w:sz w:val="24"/>
          <w:szCs w:val="24"/>
        </w:rPr>
        <w:t xml:space="preserve"> Республика Мордовия г.Саранск – Республика Мордовия, Кочкуровский район, с.Сабаево, ДОЛ «Энергетик»; </w:t>
      </w:r>
    </w:p>
    <w:p w14:paraId="77505F2D" w14:textId="77777777" w:rsidR="00A269F9" w:rsidRPr="00A269F9" w:rsidRDefault="00A269F9" w:rsidP="00A269F9">
      <w:pPr>
        <w:widowControl w:val="0"/>
        <w:contextualSpacing/>
        <w:jc w:val="both"/>
        <w:rPr>
          <w:sz w:val="24"/>
          <w:szCs w:val="24"/>
        </w:rPr>
      </w:pPr>
      <w:r w:rsidRPr="00A269F9">
        <w:rPr>
          <w:sz w:val="24"/>
          <w:szCs w:val="24"/>
        </w:rPr>
        <w:t>Республика Мордовия, Кочкуровский район, с.Сабаево, ДОЛ «Энергетик» - Республика Мордовия г,Саранск.</w:t>
      </w:r>
    </w:p>
    <w:p w14:paraId="61602659" w14:textId="3133A36B" w:rsidR="002770DD" w:rsidRPr="002770DD" w:rsidRDefault="002770DD" w:rsidP="00A269F9">
      <w:pPr>
        <w:ind w:firstLine="567"/>
        <w:rPr>
          <w:color w:val="0000FF"/>
          <w:sz w:val="24"/>
          <w:szCs w:val="24"/>
        </w:rPr>
      </w:pPr>
      <w:r w:rsidRPr="002770DD">
        <w:rPr>
          <w:b/>
          <w:color w:val="0000FF"/>
          <w:sz w:val="24"/>
          <w:szCs w:val="24"/>
          <w:lang w:eastAsia="ar-SA"/>
        </w:rPr>
        <w:t>Сроки оказания услуг</w:t>
      </w:r>
      <w:r w:rsidRPr="002770DD">
        <w:rPr>
          <w:color w:val="0000FF"/>
          <w:sz w:val="24"/>
          <w:szCs w:val="24"/>
          <w:lang w:eastAsia="ar-SA"/>
        </w:rPr>
        <w:t xml:space="preserve">: </w:t>
      </w:r>
      <w:r w:rsidR="00A269F9" w:rsidRPr="00A269F9">
        <w:rPr>
          <w:color w:val="0000FF"/>
          <w:sz w:val="24"/>
          <w:szCs w:val="24"/>
        </w:rPr>
        <w:t>с июня по август 202</w:t>
      </w:r>
      <w:r w:rsidR="00236DBA">
        <w:rPr>
          <w:color w:val="0000FF"/>
          <w:sz w:val="24"/>
          <w:szCs w:val="24"/>
        </w:rPr>
        <w:t>4</w:t>
      </w:r>
      <w:r w:rsidR="00A269F9" w:rsidRPr="00A269F9">
        <w:rPr>
          <w:color w:val="0000FF"/>
          <w:sz w:val="24"/>
          <w:szCs w:val="24"/>
        </w:rPr>
        <w:t xml:space="preserve"> года (согласно графика)</w:t>
      </w:r>
      <w:r w:rsidR="00FF01C8">
        <w:rPr>
          <w:color w:val="0000FF"/>
          <w:sz w:val="24"/>
          <w:szCs w:val="24"/>
        </w:rPr>
        <w:t>.</w:t>
      </w:r>
    </w:p>
    <w:p w14:paraId="40AC1ED7" w14:textId="77777777" w:rsidR="007F0C53" w:rsidRPr="007F0C53" w:rsidRDefault="002770DD" w:rsidP="007F0C53">
      <w:pPr>
        <w:pStyle w:val="af0"/>
        <w:ind w:firstLine="540"/>
        <w:rPr>
          <w:bCs/>
          <w:i/>
          <w:szCs w:val="24"/>
        </w:rPr>
      </w:pPr>
      <w:r w:rsidRPr="00236DBA">
        <w:rPr>
          <w:szCs w:val="24"/>
        </w:rPr>
        <w:t>1.1.</w:t>
      </w:r>
      <w:r w:rsidR="00A269F9" w:rsidRPr="00236DBA">
        <w:rPr>
          <w:szCs w:val="24"/>
          <w:lang w:val="ru-RU"/>
        </w:rPr>
        <w:t>5</w:t>
      </w:r>
      <w:r w:rsidRPr="00236DBA">
        <w:rPr>
          <w:szCs w:val="24"/>
        </w:rPr>
        <w:t>.</w:t>
      </w:r>
      <w:r w:rsidRPr="002770DD">
        <w:rPr>
          <w:b/>
          <w:szCs w:val="24"/>
        </w:rPr>
        <w:t xml:space="preserve"> Порядок оплаты</w:t>
      </w:r>
      <w:r w:rsidRPr="002770DD">
        <w:rPr>
          <w:szCs w:val="24"/>
        </w:rPr>
        <w:t xml:space="preserve">: </w:t>
      </w:r>
    </w:p>
    <w:p w14:paraId="2627F746" w14:textId="1CCB76FC" w:rsidR="00A269F9" w:rsidRDefault="00A269F9"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w:t>
      </w:r>
      <w:r w:rsidR="00646279">
        <w:rPr>
          <w:color w:val="0000FF"/>
          <w:sz w:val="24"/>
          <w:szCs w:val="24"/>
        </w:rPr>
        <w:t>срок не более</w:t>
      </w:r>
      <w:r w:rsidRPr="00A269F9">
        <w:rPr>
          <w:color w:val="0000FF"/>
          <w:sz w:val="24"/>
          <w:szCs w:val="24"/>
        </w:rPr>
        <w:t xml:space="preserve"> 30 </w:t>
      </w:r>
      <w:r w:rsidR="00646279">
        <w:rPr>
          <w:color w:val="0000FF"/>
          <w:sz w:val="24"/>
          <w:szCs w:val="24"/>
        </w:rPr>
        <w:t>рабочих</w:t>
      </w:r>
      <w:r w:rsidRPr="00A269F9">
        <w:rPr>
          <w:color w:val="0000FF"/>
          <w:sz w:val="24"/>
          <w:szCs w:val="24"/>
        </w:rPr>
        <w:t xml:space="preserve">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p>
    <w:p w14:paraId="6645F1BF" w14:textId="77777777"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w:t>
      </w:r>
      <w:r w:rsidRPr="002770DD">
        <w:rPr>
          <w:sz w:val="24"/>
          <w:szCs w:val="24"/>
        </w:rPr>
        <w:lastRenderedPageBreak/>
        <w:t xml:space="preserve">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w:t>
      </w:r>
      <w:r w:rsidRPr="002770DD">
        <w:rPr>
          <w:sz w:val="24"/>
          <w:szCs w:val="24"/>
        </w:rPr>
        <w:lastRenderedPageBreak/>
        <w:t>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31DD74E8" w:rsidR="00060C58" w:rsidRPr="00D9234B" w:rsidRDefault="00EE5653"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D9234B">
        <w:rPr>
          <w:sz w:val="24"/>
          <w:szCs w:val="24"/>
        </w:rPr>
        <w:t>Запрос предложений проводится в соответствии с</w:t>
      </w:r>
      <w:bookmarkEnd w:id="43"/>
      <w:r w:rsidRPr="00D9234B">
        <w:rPr>
          <w:sz w:val="24"/>
          <w:szCs w:val="24"/>
        </w:rPr>
        <w:t xml:space="preserve"> Единым стандартом закупок ПАО «Россети» (далее – Положение о закупке), утвержденного решением Совета Директоров ПАО «Россети»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«Россети»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00236DBA">
        <w:rPr>
          <w:bCs/>
          <w:sz w:val="24"/>
          <w:szCs w:val="24"/>
        </w:rPr>
        <w:t>56</w:t>
      </w:r>
      <w:r w:rsidR="00060C58" w:rsidRPr="00D9234B">
        <w:rPr>
          <w:bCs/>
          <w:sz w:val="24"/>
          <w:szCs w:val="24"/>
        </w:rPr>
        <w:t xml:space="preserve"> от </w:t>
      </w:r>
      <w:r w:rsidRPr="00D9234B">
        <w:rPr>
          <w:bCs/>
          <w:sz w:val="24"/>
          <w:szCs w:val="24"/>
        </w:rPr>
        <w:t>29</w:t>
      </w:r>
      <w:r w:rsidR="001C0365" w:rsidRPr="00D9234B">
        <w:rPr>
          <w:bCs/>
          <w:sz w:val="24"/>
          <w:szCs w:val="24"/>
        </w:rPr>
        <w:t>.1</w:t>
      </w:r>
      <w:r w:rsidRPr="00D9234B">
        <w:rPr>
          <w:bCs/>
          <w:sz w:val="24"/>
          <w:szCs w:val="24"/>
        </w:rPr>
        <w:t>2</w:t>
      </w:r>
      <w:r w:rsidR="00060C58" w:rsidRPr="00D9234B">
        <w:rPr>
          <w:bCs/>
          <w:sz w:val="24"/>
          <w:szCs w:val="24"/>
        </w:rPr>
        <w:t>.20</w:t>
      </w:r>
      <w:r w:rsidR="001C0365" w:rsidRPr="00D9234B">
        <w:rPr>
          <w:bCs/>
          <w:sz w:val="24"/>
          <w:szCs w:val="24"/>
        </w:rPr>
        <w:t>2</w:t>
      </w:r>
      <w:r w:rsidR="00236DBA">
        <w:rPr>
          <w:bCs/>
          <w:sz w:val="24"/>
          <w:szCs w:val="24"/>
        </w:rPr>
        <w:t>3</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lastRenderedPageBreak/>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3"/>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E3AED17" w14:textId="7F14C0A6" w:rsidR="000F3A4D" w:rsidRPr="00236DBA" w:rsidRDefault="00236DBA"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236DBA">
        <w:rPr>
          <w:sz w:val="24"/>
          <w:szCs w:val="24"/>
        </w:rPr>
        <w:t xml:space="preserve">Начальная (максимальная) цена договора (цена лота) составляет: </w:t>
      </w:r>
      <w:r w:rsidRPr="00236DBA">
        <w:rPr>
          <w:b/>
          <w:sz w:val="24"/>
          <w:szCs w:val="24"/>
        </w:rPr>
        <w:t xml:space="preserve">230 500 (Двести </w:t>
      </w:r>
      <w:r w:rsidRPr="00236DBA">
        <w:rPr>
          <w:b/>
          <w:sz w:val="24"/>
          <w:szCs w:val="24"/>
        </w:rPr>
        <w:lastRenderedPageBreak/>
        <w:t>тридцать тысяч пятьсот) рублей 00 копеек</w:t>
      </w:r>
      <w:r w:rsidRPr="00236DBA">
        <w:rPr>
          <w:sz w:val="24"/>
          <w:szCs w:val="24"/>
        </w:rPr>
        <w:t xml:space="preserve">, кроме того НДС в размере 20 % - </w:t>
      </w:r>
      <w:r w:rsidRPr="00236DBA">
        <w:rPr>
          <w:b/>
          <w:sz w:val="24"/>
          <w:szCs w:val="24"/>
        </w:rPr>
        <w:t>46 100 (Сорок шесть тысяч сто) рублей 00 копейки</w:t>
      </w:r>
      <w:r w:rsidR="000F3A4D" w:rsidRPr="00236DBA">
        <w:rPr>
          <w:b/>
          <w:sz w:val="24"/>
          <w:szCs w:val="24"/>
        </w:rPr>
        <w:t xml:space="preserve">. </w:t>
      </w:r>
    </w:p>
    <w:p w14:paraId="45A66F16" w14:textId="368E8A35" w:rsidR="000F3A4D" w:rsidRPr="000F3A4D" w:rsidRDefault="000F3A4D" w:rsidP="000F3A4D">
      <w:pPr>
        <w:widowControl w:val="0"/>
        <w:shd w:val="clear" w:color="auto" w:fill="FFFFFF"/>
        <w:tabs>
          <w:tab w:val="left" w:pos="1560"/>
          <w:tab w:val="left" w:pos="1843"/>
        </w:tabs>
        <w:suppressAutoHyphens/>
        <w:autoSpaceDE w:val="0"/>
        <w:autoSpaceDN w:val="0"/>
        <w:ind w:right="-108"/>
        <w:jc w:val="both"/>
        <w:rPr>
          <w:sz w:val="24"/>
          <w:szCs w:val="24"/>
        </w:rPr>
      </w:pPr>
      <w:r>
        <w:rPr>
          <w:sz w:val="24"/>
          <w:szCs w:val="24"/>
        </w:rPr>
        <w:t xml:space="preserve">                          </w:t>
      </w:r>
      <w:r w:rsidRPr="000F3A4D">
        <w:rPr>
          <w:sz w:val="24"/>
          <w:szCs w:val="24"/>
        </w:rPr>
        <w:t xml:space="preserve">Начальная (максимальная) цена договора (цена лота) с учетом НДС составляет </w:t>
      </w:r>
      <w:r w:rsidR="00236DBA" w:rsidRPr="00236DBA">
        <w:rPr>
          <w:b/>
          <w:sz w:val="24"/>
          <w:szCs w:val="24"/>
        </w:rPr>
        <w:t>276 600 (Двести семьдесят шесть тысяч шестьсот) рублей 00 копеек</w:t>
      </w:r>
      <w:r w:rsidRPr="000F3A4D">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Закупочная комиссия сопоставление ценовых предложений участников будет осуществлять без НДС. </w:t>
      </w:r>
    </w:p>
    <w:p w14:paraId="1D006FC4" w14:textId="77777777" w:rsidR="00FD4531" w:rsidRPr="00E32972" w:rsidRDefault="00FD4531"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E32972">
        <w:rPr>
          <w:sz w:val="24"/>
          <w:szCs w:val="24"/>
        </w:rPr>
        <w:t>Начальная (максимальная) цена Договора означает максимальную сумму денежных средств, планируемых к привлечению на закупку продукции (сумму затрат) в течение определённого условиями закупки периода действия договора, являющегося результатом закупочной процедуры.</w:t>
      </w:r>
    </w:p>
    <w:p w14:paraId="1D1674DC" w14:textId="6FEAE9C3" w:rsidR="00236DBA" w:rsidRDefault="00236DBA" w:rsidP="00FD4531">
      <w:pPr>
        <w:jc w:val="both"/>
        <w:rPr>
          <w:bCs/>
          <w:sz w:val="24"/>
          <w:szCs w:val="24"/>
        </w:rPr>
      </w:pPr>
      <w:r>
        <w:rPr>
          <w:bCs/>
          <w:color w:val="0000FF"/>
          <w:sz w:val="24"/>
          <w:szCs w:val="24"/>
        </w:rPr>
        <w:t xml:space="preserve">                         </w:t>
      </w:r>
      <w:r w:rsidR="00FF01C8" w:rsidRPr="00FF01C8">
        <w:rPr>
          <w:bCs/>
          <w:color w:val="0000FF"/>
          <w:sz w:val="24"/>
          <w:szCs w:val="24"/>
        </w:rPr>
        <w:t>Коммерческая оценка предложений будет производиться по общей сумме единичных расценок, указанных в Заявке Участника.</w:t>
      </w:r>
      <w:r w:rsidR="00FF01C8" w:rsidRPr="00FF01C8">
        <w:rPr>
          <w:bCs/>
          <w:sz w:val="24"/>
          <w:szCs w:val="24"/>
        </w:rPr>
        <w:t xml:space="preserve"> </w:t>
      </w:r>
    </w:p>
    <w:p w14:paraId="34CC84B3" w14:textId="2216BE80" w:rsidR="00FF01C8" w:rsidRPr="00FD4531" w:rsidRDefault="00236DBA" w:rsidP="00FD4531">
      <w:pPr>
        <w:jc w:val="both"/>
        <w:rPr>
          <w:sz w:val="24"/>
          <w:szCs w:val="24"/>
        </w:rPr>
      </w:pPr>
      <w:r>
        <w:rPr>
          <w:bCs/>
          <w:sz w:val="24"/>
          <w:szCs w:val="24"/>
        </w:rPr>
        <w:t xml:space="preserve">                         </w:t>
      </w:r>
      <w:r w:rsidR="00FF01C8" w:rsidRPr="00BD316A">
        <w:rPr>
          <w:bCs/>
          <w:color w:val="FF0000"/>
          <w:sz w:val="24"/>
          <w:szCs w:val="24"/>
        </w:rPr>
        <w:t>Начальная (максимальная) цена Договора (цена лота) является фиксированной и не подлежит изменению по результатам закупочной процедуры.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r w:rsidR="00D33975" w:rsidRPr="00BD316A">
        <w:rPr>
          <w:bCs/>
          <w:color w:val="FF0000"/>
          <w:sz w:val="24"/>
          <w:szCs w:val="24"/>
        </w:rPr>
        <w:t>.</w:t>
      </w:r>
    </w:p>
    <w:p w14:paraId="250BA058" w14:textId="77777777" w:rsidR="009E6F29" w:rsidRPr="00D0171E" w:rsidRDefault="009E6F29" w:rsidP="00F34921">
      <w:pPr>
        <w:widowControl w:val="0"/>
        <w:numPr>
          <w:ilvl w:val="3"/>
          <w:numId w:val="89"/>
        </w:numPr>
        <w:shd w:val="clear" w:color="auto" w:fill="FFFFFF"/>
        <w:tabs>
          <w:tab w:val="left" w:pos="1560"/>
          <w:tab w:val="left" w:pos="1843"/>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w:t>
      </w:r>
      <w:r w:rsidRPr="00BD316A">
        <w:rPr>
          <w:bCs/>
          <w:sz w:val="24"/>
        </w:rPr>
        <w:t xml:space="preserve">предложений может любое юридическое, </w:t>
      </w:r>
      <w:r w:rsidRPr="00BD316A">
        <w:rPr>
          <w:bCs/>
          <w:color w:val="000000"/>
          <w:sz w:val="24"/>
        </w:rPr>
        <w:t>физическое</w:t>
      </w:r>
      <w:r w:rsidRPr="00BD316A">
        <w:rPr>
          <w:bCs/>
          <w:sz w:val="24"/>
        </w:rPr>
        <w:t xml:space="preserve"> лицо (в т. ч. индивидуальный предприниматель)</w:t>
      </w:r>
      <w:r w:rsidR="00EE5653" w:rsidRPr="00BD316A">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BD316A">
        <w:rPr>
          <w:bCs/>
          <w:sz w:val="24"/>
        </w:rPr>
        <w:t xml:space="preserve">. </w:t>
      </w:r>
      <w:r w:rsidRPr="00BD316A">
        <w:rPr>
          <w:sz w:val="24"/>
        </w:rPr>
        <w:t>При проведении запроса предложений на ЭТП, такое лицо должно быть зарегистрировано на соответствующей ЭТП в качестве Участника</w:t>
      </w:r>
      <w:r w:rsidRPr="003A1605">
        <w:rPr>
          <w:sz w:val="24"/>
        </w:rPr>
        <w:t xml:space="preserve">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777777" w:rsidR="009E6F29" w:rsidRPr="000F3A4D"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lastRenderedPageBreak/>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w:t>
      </w:r>
      <w:r w:rsidRPr="00DE4864">
        <w:rPr>
          <w:bCs/>
          <w:color w:val="0000FF"/>
          <w:sz w:val="24"/>
          <w:szCs w:val="22"/>
        </w:rPr>
        <w:lastRenderedPageBreak/>
        <w:t xml:space="preserve">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76600F77"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507C76DB"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F60F35" w:rsidRPr="00F60F35">
        <w:rPr>
          <w:bCs/>
          <w:color w:val="FF0000"/>
          <w:sz w:val="24"/>
        </w:rPr>
        <w:t>15</w:t>
      </w:r>
      <w:r w:rsidR="00C45BAC" w:rsidRPr="00BD316A">
        <w:rPr>
          <w:bCs/>
          <w:color w:val="FF0000"/>
          <w:sz w:val="24"/>
        </w:rPr>
        <w:t>.</w:t>
      </w:r>
      <w:r w:rsidR="000944CB" w:rsidRPr="00BD316A">
        <w:rPr>
          <w:bCs/>
          <w:color w:val="FF0000"/>
          <w:sz w:val="24"/>
        </w:rPr>
        <w:t>0</w:t>
      </w:r>
      <w:r w:rsidR="00BD316A" w:rsidRPr="00BD316A">
        <w:rPr>
          <w:bCs/>
          <w:color w:val="FF0000"/>
          <w:sz w:val="24"/>
        </w:rPr>
        <w:t>2</w:t>
      </w:r>
      <w:r w:rsidR="00C45BAC" w:rsidRPr="00BD316A">
        <w:rPr>
          <w:bCs/>
          <w:color w:val="FF0000"/>
          <w:sz w:val="24"/>
        </w:rPr>
        <w:t>.</w:t>
      </w:r>
      <w:r w:rsidRPr="00BD316A">
        <w:rPr>
          <w:bCs/>
          <w:color w:val="FF0000"/>
          <w:sz w:val="24"/>
        </w:rPr>
        <w:t>202</w:t>
      </w:r>
      <w:r w:rsidR="00236DBA">
        <w:rPr>
          <w:bCs/>
          <w:color w:val="FF0000"/>
          <w:sz w:val="24"/>
        </w:rPr>
        <w:t>4</w:t>
      </w:r>
      <w:r w:rsidRPr="00BD316A">
        <w:rPr>
          <w:bCs/>
          <w:color w:val="FF0000"/>
          <w:sz w:val="24"/>
        </w:rPr>
        <w:t xml:space="preserve"> </w:t>
      </w:r>
      <w:r w:rsidRPr="001B7202">
        <w:rPr>
          <w:bCs/>
          <w:color w:val="FF0000"/>
          <w:sz w:val="24"/>
        </w:rPr>
        <w:t>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F60F35">
        <w:rPr>
          <w:bCs/>
          <w:color w:val="FF0000"/>
          <w:sz w:val="24"/>
          <w:szCs w:val="24"/>
        </w:rPr>
        <w:t>22</w:t>
      </w:r>
      <w:r w:rsidR="00C45BAC">
        <w:rPr>
          <w:bCs/>
          <w:color w:val="FF0000"/>
          <w:sz w:val="24"/>
          <w:szCs w:val="24"/>
        </w:rPr>
        <w:t>.</w:t>
      </w:r>
      <w:r w:rsidR="000944CB">
        <w:rPr>
          <w:bCs/>
          <w:color w:val="FF0000"/>
          <w:sz w:val="24"/>
          <w:szCs w:val="24"/>
        </w:rPr>
        <w:t>0</w:t>
      </w:r>
      <w:r w:rsidR="00F60F35">
        <w:rPr>
          <w:bCs/>
          <w:color w:val="FF0000"/>
          <w:sz w:val="24"/>
          <w:szCs w:val="24"/>
        </w:rPr>
        <w:t>2</w:t>
      </w:r>
      <w:bookmarkStart w:id="107" w:name="_GoBack"/>
      <w:bookmarkEnd w:id="107"/>
      <w:r w:rsidR="003A1605" w:rsidRPr="003A1605">
        <w:rPr>
          <w:bCs/>
          <w:color w:val="FF0000"/>
          <w:sz w:val="24"/>
          <w:szCs w:val="24"/>
        </w:rPr>
        <w:t>.202</w:t>
      </w:r>
      <w:r w:rsidR="00236DBA">
        <w:rPr>
          <w:bCs/>
          <w:color w:val="FF0000"/>
          <w:sz w:val="24"/>
          <w:szCs w:val="24"/>
        </w:rPr>
        <w:t>4</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t>3.3.10. Продление срока окончания приема Заявок</w:t>
      </w:r>
      <w:bookmarkEnd w:id="109"/>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 xml:space="preserve">ть </w:t>
      </w:r>
      <w:r w:rsidR="003A1605">
        <w:rPr>
          <w:bCs/>
          <w:sz w:val="24"/>
        </w:rPr>
        <w:lastRenderedPageBreak/>
        <w:t>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0" w:name="_Ref305973214"/>
      <w:bookmarkStart w:id="111"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0"/>
      <w:bookmarkEnd w:id="111"/>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2" w:name="_Toc343613546"/>
      <w:r w:rsidRPr="00D0171E">
        <w:rPr>
          <w:rFonts w:eastAsia="Times New Roman"/>
          <w:bCs w:val="0"/>
          <w:sz w:val="24"/>
          <w:szCs w:val="24"/>
          <w:lang w:eastAsia="ru-RU"/>
        </w:rPr>
        <w:t>3.4.1. Подача Заявок через ЭТП</w:t>
      </w:r>
      <w:bookmarkEnd w:id="112"/>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70ABF580" w:rsidR="00113559" w:rsidRPr="00F60F35"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F60F35" w:rsidRPr="00F60F35">
        <w:rPr>
          <w:color w:val="FF0000"/>
          <w:sz w:val="24"/>
          <w:szCs w:val="24"/>
        </w:rPr>
        <w:t>15</w:t>
      </w:r>
      <w:r w:rsidR="001B7202" w:rsidRPr="00F60F35">
        <w:rPr>
          <w:bCs/>
          <w:color w:val="FF0000"/>
          <w:sz w:val="24"/>
          <w:szCs w:val="24"/>
        </w:rPr>
        <w:t>.</w:t>
      </w:r>
      <w:r w:rsidR="000944CB" w:rsidRPr="00F60F35">
        <w:rPr>
          <w:bCs/>
          <w:color w:val="FF0000"/>
          <w:sz w:val="24"/>
          <w:szCs w:val="24"/>
        </w:rPr>
        <w:t>0</w:t>
      </w:r>
      <w:r w:rsidR="00BD316A" w:rsidRPr="00F60F35">
        <w:rPr>
          <w:bCs/>
          <w:color w:val="FF0000"/>
          <w:sz w:val="24"/>
          <w:szCs w:val="24"/>
        </w:rPr>
        <w:t>2</w:t>
      </w:r>
      <w:r w:rsidR="001B7202" w:rsidRPr="00F60F35">
        <w:rPr>
          <w:bCs/>
          <w:color w:val="FF0000"/>
          <w:sz w:val="24"/>
          <w:szCs w:val="24"/>
        </w:rPr>
        <w:t>.</w:t>
      </w:r>
      <w:r w:rsidR="00740E7B" w:rsidRPr="00F60F35">
        <w:rPr>
          <w:bCs/>
          <w:color w:val="FF0000"/>
          <w:sz w:val="24"/>
          <w:szCs w:val="24"/>
        </w:rPr>
        <w:t>202</w:t>
      </w:r>
      <w:r w:rsidR="00236DBA" w:rsidRPr="00F60F35">
        <w:rPr>
          <w:bCs/>
          <w:color w:val="FF0000"/>
          <w:sz w:val="24"/>
          <w:szCs w:val="24"/>
        </w:rPr>
        <w:t>4</w:t>
      </w:r>
      <w:r w:rsidR="00740E7B" w:rsidRPr="00F60F35">
        <w:rPr>
          <w:bCs/>
          <w:color w:val="FF0000"/>
          <w:sz w:val="24"/>
          <w:szCs w:val="24"/>
        </w:rPr>
        <w:t xml:space="preserve"> года. </w:t>
      </w:r>
      <w:r w:rsidRPr="00F60F35">
        <w:rPr>
          <w:sz w:val="24"/>
          <w:szCs w:val="24"/>
        </w:rPr>
        <w:t xml:space="preserve">Срок окончания подачи заявок </w:t>
      </w:r>
      <w:r w:rsidR="001B7202" w:rsidRPr="00F60F35">
        <w:rPr>
          <w:color w:val="FF0000"/>
          <w:sz w:val="24"/>
          <w:szCs w:val="24"/>
          <w:u w:val="single"/>
        </w:rPr>
        <w:t>1</w:t>
      </w:r>
      <w:r w:rsidR="000944CB" w:rsidRPr="00F60F35">
        <w:rPr>
          <w:color w:val="FF0000"/>
          <w:sz w:val="24"/>
          <w:szCs w:val="24"/>
          <w:u w:val="single"/>
        </w:rPr>
        <w:t>4</w:t>
      </w:r>
      <w:r w:rsidR="001B7202" w:rsidRPr="00F60F35">
        <w:rPr>
          <w:color w:val="FF0000"/>
          <w:sz w:val="24"/>
          <w:szCs w:val="24"/>
          <w:u w:val="single"/>
        </w:rPr>
        <w:t>-00</w:t>
      </w:r>
      <w:r w:rsidRPr="00F60F35">
        <w:rPr>
          <w:color w:val="FF0000"/>
          <w:sz w:val="24"/>
          <w:szCs w:val="24"/>
        </w:rPr>
        <w:t xml:space="preserve"> часов (время московское) </w:t>
      </w:r>
      <w:r w:rsidR="00F60F35" w:rsidRPr="00F60F35">
        <w:rPr>
          <w:color w:val="FF0000"/>
          <w:sz w:val="24"/>
          <w:szCs w:val="24"/>
        </w:rPr>
        <w:t>28</w:t>
      </w:r>
      <w:r w:rsidR="004969BF" w:rsidRPr="00F60F35">
        <w:rPr>
          <w:bCs/>
          <w:color w:val="FF0000"/>
          <w:sz w:val="24"/>
          <w:szCs w:val="24"/>
        </w:rPr>
        <w:t>.</w:t>
      </w:r>
      <w:r w:rsidR="000944CB" w:rsidRPr="00F60F35">
        <w:rPr>
          <w:bCs/>
          <w:color w:val="FF0000"/>
          <w:sz w:val="24"/>
          <w:szCs w:val="24"/>
        </w:rPr>
        <w:t>0</w:t>
      </w:r>
      <w:r w:rsidR="00F60F35" w:rsidRPr="00F60F35">
        <w:rPr>
          <w:bCs/>
          <w:color w:val="FF0000"/>
          <w:sz w:val="24"/>
          <w:szCs w:val="24"/>
        </w:rPr>
        <w:t>2</w:t>
      </w:r>
      <w:r w:rsidR="001B7202" w:rsidRPr="00F60F35">
        <w:rPr>
          <w:bCs/>
          <w:color w:val="FF0000"/>
          <w:sz w:val="24"/>
          <w:szCs w:val="24"/>
        </w:rPr>
        <w:t>.</w:t>
      </w:r>
      <w:r w:rsidR="00740E7B" w:rsidRPr="00F60F35">
        <w:rPr>
          <w:bCs/>
          <w:color w:val="FF0000"/>
          <w:sz w:val="24"/>
          <w:szCs w:val="24"/>
        </w:rPr>
        <w:t>202</w:t>
      </w:r>
      <w:r w:rsidR="00236DBA" w:rsidRPr="00F60F35">
        <w:rPr>
          <w:bCs/>
          <w:color w:val="FF0000"/>
          <w:sz w:val="24"/>
          <w:szCs w:val="24"/>
        </w:rPr>
        <w:t>4</w:t>
      </w:r>
      <w:r w:rsidR="00740E7B" w:rsidRPr="00F60F35">
        <w:rPr>
          <w:bCs/>
          <w:color w:val="FF0000"/>
          <w:sz w:val="24"/>
          <w:szCs w:val="24"/>
        </w:rPr>
        <w:t xml:space="preserve"> года</w:t>
      </w:r>
      <w:r w:rsidR="00740E7B" w:rsidRPr="00F60F35">
        <w:rPr>
          <w:bCs/>
          <w:sz w:val="24"/>
          <w:szCs w:val="24"/>
        </w:rPr>
        <w:t xml:space="preserve">. </w:t>
      </w:r>
      <w:r w:rsidRPr="00F60F35">
        <w:rPr>
          <w:bCs/>
          <w:sz w:val="24"/>
          <w:szCs w:val="24"/>
        </w:rPr>
        <w:t xml:space="preserve">Заявка должна быть подана на электронной торговой площадке </w:t>
      </w:r>
      <w:r w:rsidRPr="00F60F35">
        <w:rPr>
          <w:color w:val="0000FF"/>
          <w:sz w:val="24"/>
          <w:szCs w:val="24"/>
          <w:u w:val="single"/>
          <w:lang w:val="en-US"/>
        </w:rPr>
        <w:t>www</w:t>
      </w:r>
      <w:r w:rsidRPr="00F60F35">
        <w:rPr>
          <w:color w:val="0000FF"/>
          <w:sz w:val="24"/>
          <w:szCs w:val="24"/>
          <w:u w:val="single"/>
        </w:rPr>
        <w:t>.</w:t>
      </w:r>
      <w:r w:rsidRPr="00F60F35">
        <w:rPr>
          <w:color w:val="0000FF"/>
          <w:sz w:val="24"/>
          <w:szCs w:val="24"/>
          <w:u w:val="single"/>
          <w:lang w:val="en-US"/>
        </w:rPr>
        <w:t>roseltorg</w:t>
      </w:r>
      <w:r w:rsidRPr="00F60F35">
        <w:rPr>
          <w:color w:val="0000FF"/>
          <w:sz w:val="24"/>
          <w:szCs w:val="24"/>
          <w:u w:val="single"/>
        </w:rPr>
        <w:t>.</w:t>
      </w:r>
      <w:r w:rsidRPr="00F60F35">
        <w:rPr>
          <w:color w:val="0000FF"/>
          <w:sz w:val="24"/>
          <w:szCs w:val="24"/>
          <w:u w:val="single"/>
          <w:lang w:val="en-US"/>
        </w:rPr>
        <w:t>ru</w:t>
      </w:r>
      <w:r w:rsidRPr="00F60F35">
        <w:rPr>
          <w:bCs/>
          <w:sz w:val="24"/>
          <w:szCs w:val="24"/>
        </w:rPr>
        <w:t xml:space="preserve"> в соответствии с правилами и регламентами её функционирования в срок до </w:t>
      </w:r>
      <w:r w:rsidR="001B7202" w:rsidRPr="00F60F35">
        <w:rPr>
          <w:bCs/>
          <w:color w:val="FF0000"/>
          <w:sz w:val="24"/>
          <w:szCs w:val="24"/>
          <w:u w:val="single"/>
        </w:rPr>
        <w:t>1</w:t>
      </w:r>
      <w:r w:rsidR="000944CB" w:rsidRPr="00F60F35">
        <w:rPr>
          <w:bCs/>
          <w:color w:val="FF0000"/>
          <w:sz w:val="24"/>
          <w:szCs w:val="24"/>
          <w:u w:val="single"/>
        </w:rPr>
        <w:t>4</w:t>
      </w:r>
      <w:r w:rsidR="001B7202" w:rsidRPr="00F60F35">
        <w:rPr>
          <w:bCs/>
          <w:color w:val="FF0000"/>
          <w:sz w:val="24"/>
          <w:szCs w:val="24"/>
          <w:u w:val="single"/>
        </w:rPr>
        <w:t>-00</w:t>
      </w:r>
      <w:r w:rsidRPr="00F60F35">
        <w:rPr>
          <w:bCs/>
          <w:color w:val="FF0000"/>
          <w:sz w:val="24"/>
          <w:szCs w:val="24"/>
        </w:rPr>
        <w:t xml:space="preserve"> часов (время московское) </w:t>
      </w:r>
      <w:r w:rsidR="00F60F35" w:rsidRPr="00F60F35">
        <w:rPr>
          <w:bCs/>
          <w:color w:val="FF0000"/>
          <w:sz w:val="24"/>
          <w:szCs w:val="24"/>
        </w:rPr>
        <w:t>28</w:t>
      </w:r>
      <w:r w:rsidR="004969BF" w:rsidRPr="00F60F35">
        <w:rPr>
          <w:bCs/>
          <w:color w:val="FF0000"/>
          <w:sz w:val="24"/>
          <w:szCs w:val="24"/>
        </w:rPr>
        <w:t>.</w:t>
      </w:r>
      <w:r w:rsidR="00976B89" w:rsidRPr="00F60F35">
        <w:rPr>
          <w:bCs/>
          <w:color w:val="FF0000"/>
          <w:sz w:val="24"/>
          <w:szCs w:val="24"/>
        </w:rPr>
        <w:t>0</w:t>
      </w:r>
      <w:r w:rsidR="00F60F35" w:rsidRPr="00F60F35">
        <w:rPr>
          <w:bCs/>
          <w:color w:val="FF0000"/>
          <w:sz w:val="24"/>
          <w:szCs w:val="24"/>
        </w:rPr>
        <w:t>2</w:t>
      </w:r>
      <w:r w:rsidR="001B7202" w:rsidRPr="00F60F35">
        <w:rPr>
          <w:bCs/>
          <w:color w:val="FF0000"/>
          <w:sz w:val="24"/>
          <w:szCs w:val="24"/>
        </w:rPr>
        <w:t>.</w:t>
      </w:r>
      <w:r w:rsidR="00740E7B" w:rsidRPr="00F60F35">
        <w:rPr>
          <w:bCs/>
          <w:color w:val="FF0000"/>
          <w:sz w:val="24"/>
          <w:szCs w:val="24"/>
        </w:rPr>
        <w:t>202</w:t>
      </w:r>
      <w:r w:rsidR="00236DBA" w:rsidRPr="00F60F35">
        <w:rPr>
          <w:bCs/>
          <w:color w:val="FF0000"/>
          <w:sz w:val="24"/>
          <w:szCs w:val="24"/>
        </w:rPr>
        <w:t>4</w:t>
      </w:r>
      <w:r w:rsidR="00740E7B" w:rsidRPr="00F60F35">
        <w:rPr>
          <w:bCs/>
          <w:color w:val="FF0000"/>
          <w:sz w:val="24"/>
          <w:szCs w:val="24"/>
        </w:rPr>
        <w:t xml:space="preserve"> года </w:t>
      </w:r>
      <w:r w:rsidRPr="00F60F35">
        <w:rPr>
          <w:bCs/>
          <w:sz w:val="24"/>
          <w:szCs w:val="24"/>
        </w:rPr>
        <w:t>в формате электронного документа, включающего в себя полный комплект документов, запрашиваемых в Документации</w:t>
      </w:r>
      <w:r w:rsidRPr="00F60F35">
        <w:rPr>
          <w:sz w:val="24"/>
          <w:szCs w:val="24"/>
        </w:rPr>
        <w:t xml:space="preserve"> по запросу предложений.  </w:t>
      </w:r>
    </w:p>
    <w:p w14:paraId="712C3FBC" w14:textId="77777777" w:rsidR="00113559" w:rsidRPr="00F60F35" w:rsidRDefault="00113559" w:rsidP="00F34921">
      <w:pPr>
        <w:widowControl w:val="0"/>
        <w:numPr>
          <w:ilvl w:val="3"/>
          <w:numId w:val="94"/>
        </w:numPr>
        <w:suppressAutoHyphens/>
        <w:overflowPunct w:val="0"/>
        <w:autoSpaceDE w:val="0"/>
        <w:ind w:left="0" w:right="-39" w:firstLine="567"/>
        <w:jc w:val="both"/>
        <w:rPr>
          <w:sz w:val="24"/>
          <w:szCs w:val="24"/>
        </w:rPr>
      </w:pPr>
      <w:r w:rsidRPr="00F60F35">
        <w:rPr>
          <w:sz w:val="24"/>
          <w:szCs w:val="24"/>
        </w:rPr>
        <w:t>Процедура вскрытия электронных заявок Участников</w:t>
      </w:r>
      <w:r w:rsidR="00333AB3" w:rsidRPr="00F60F35">
        <w:rPr>
          <w:sz w:val="24"/>
          <w:szCs w:val="24"/>
        </w:rPr>
        <w:t>:</w:t>
      </w:r>
      <w:r w:rsidRPr="00F60F35">
        <w:rPr>
          <w:sz w:val="24"/>
          <w:szCs w:val="24"/>
        </w:rPr>
        <w:t xml:space="preserve"> </w:t>
      </w:r>
      <w:bookmarkStart w:id="113" w:name="_Ref535416033"/>
      <w:r w:rsidR="00333AB3" w:rsidRPr="00F60F35">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3"/>
      <w:r w:rsidR="00333AB3" w:rsidRPr="00F60F35">
        <w:rPr>
          <w:sz w:val="24"/>
          <w:szCs w:val="24"/>
        </w:rPr>
        <w:t>.</w:t>
      </w:r>
    </w:p>
    <w:p w14:paraId="4995F26D" w14:textId="77777777" w:rsidR="00113559" w:rsidRPr="00F60F35" w:rsidRDefault="00113559" w:rsidP="00F34921">
      <w:pPr>
        <w:numPr>
          <w:ilvl w:val="3"/>
          <w:numId w:val="94"/>
        </w:numPr>
        <w:overflowPunct w:val="0"/>
        <w:autoSpaceDE w:val="0"/>
        <w:ind w:left="0" w:right="-39" w:firstLine="567"/>
        <w:jc w:val="both"/>
        <w:rPr>
          <w:rFonts w:eastAsia="Arial Unicode MS"/>
          <w:b/>
          <w:sz w:val="24"/>
          <w:szCs w:val="24"/>
        </w:rPr>
      </w:pPr>
      <w:r w:rsidRPr="00F60F35">
        <w:rPr>
          <w:sz w:val="24"/>
          <w:szCs w:val="24"/>
        </w:rPr>
        <w:t xml:space="preserve">Место рассмотрения предложений участников и подведение итогов: </w:t>
      </w:r>
      <w:r w:rsidR="000944CB" w:rsidRPr="00F60F35">
        <w:rPr>
          <w:sz w:val="24"/>
          <w:szCs w:val="24"/>
        </w:rPr>
        <w:t>АО «Социальная сфера-М»</w:t>
      </w:r>
      <w:r w:rsidR="001B7202" w:rsidRPr="00F60F35">
        <w:rPr>
          <w:rFonts w:eastAsia="Arial Unicode MS"/>
          <w:sz w:val="24"/>
          <w:szCs w:val="24"/>
        </w:rPr>
        <w:t xml:space="preserve"> 430030, РМ, г. Саранск, ул. Васенко, 40 В каб. </w:t>
      </w:r>
      <w:r w:rsidR="000944CB" w:rsidRPr="00F60F35">
        <w:rPr>
          <w:rFonts w:eastAsia="Arial Unicode MS"/>
          <w:sz w:val="24"/>
          <w:szCs w:val="24"/>
        </w:rPr>
        <w:t>515</w:t>
      </w:r>
      <w:r w:rsidR="001B7202" w:rsidRPr="00F60F35">
        <w:rPr>
          <w:rFonts w:eastAsia="Arial Unicode MS"/>
          <w:sz w:val="24"/>
          <w:szCs w:val="24"/>
          <w:lang w:val="x-none"/>
        </w:rPr>
        <w:t>.</w:t>
      </w:r>
    </w:p>
    <w:p w14:paraId="1882256E" w14:textId="4156A8E2"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F60F35">
        <w:rPr>
          <w:sz w:val="24"/>
          <w:szCs w:val="24"/>
        </w:rPr>
        <w:t xml:space="preserve">Предполагается, что подведение итогов запроса и подписание протокола будет осуществлено, не позднее </w:t>
      </w:r>
      <w:r w:rsidR="00236DBA" w:rsidRPr="00F60F35">
        <w:rPr>
          <w:sz w:val="24"/>
          <w:szCs w:val="24"/>
        </w:rPr>
        <w:t>-</w:t>
      </w:r>
      <w:r w:rsidR="00F60F35" w:rsidRPr="00F60F35">
        <w:rPr>
          <w:sz w:val="24"/>
          <w:szCs w:val="24"/>
        </w:rPr>
        <w:t xml:space="preserve"> </w:t>
      </w:r>
      <w:r w:rsidR="00F60F35" w:rsidRPr="00F60F35">
        <w:rPr>
          <w:color w:val="FF0000"/>
          <w:sz w:val="24"/>
          <w:szCs w:val="24"/>
        </w:rPr>
        <w:t>28</w:t>
      </w:r>
      <w:r w:rsidR="001B7202" w:rsidRPr="00F60F35">
        <w:rPr>
          <w:bCs/>
          <w:color w:val="FF0000"/>
          <w:sz w:val="24"/>
          <w:szCs w:val="24"/>
        </w:rPr>
        <w:t>.</w:t>
      </w:r>
      <w:r w:rsidR="000944CB" w:rsidRPr="00F60F35">
        <w:rPr>
          <w:bCs/>
          <w:color w:val="FF0000"/>
          <w:sz w:val="24"/>
          <w:szCs w:val="24"/>
        </w:rPr>
        <w:t>0</w:t>
      </w:r>
      <w:r w:rsidR="00F60F35" w:rsidRPr="00F60F35">
        <w:rPr>
          <w:bCs/>
          <w:color w:val="FF0000"/>
          <w:sz w:val="24"/>
          <w:szCs w:val="24"/>
        </w:rPr>
        <w:t>3</w:t>
      </w:r>
      <w:r w:rsidR="001B7202" w:rsidRPr="00F60F35">
        <w:rPr>
          <w:bCs/>
          <w:color w:val="FF0000"/>
          <w:sz w:val="24"/>
          <w:szCs w:val="24"/>
        </w:rPr>
        <w:t>.</w:t>
      </w:r>
      <w:r w:rsidR="00740E7B" w:rsidRPr="00F60F35">
        <w:rPr>
          <w:bCs/>
          <w:color w:val="FF0000"/>
          <w:sz w:val="24"/>
          <w:szCs w:val="24"/>
        </w:rPr>
        <w:t>202</w:t>
      </w:r>
      <w:r w:rsidR="00236DBA" w:rsidRPr="00F60F35">
        <w:rPr>
          <w:bCs/>
          <w:color w:val="FF0000"/>
          <w:sz w:val="24"/>
          <w:szCs w:val="24"/>
        </w:rPr>
        <w:t>4</w:t>
      </w:r>
      <w:r w:rsidR="00740E7B" w:rsidRPr="00F60F35">
        <w:rPr>
          <w:bCs/>
          <w:color w:val="FF0000"/>
          <w:sz w:val="24"/>
          <w:szCs w:val="24"/>
        </w:rPr>
        <w:t xml:space="preserve"> года</w:t>
      </w:r>
      <w:r w:rsidR="00740E7B" w:rsidRPr="00F60F35">
        <w:rPr>
          <w:bCs/>
          <w:sz w:val="24"/>
          <w:szCs w:val="24"/>
        </w:rPr>
        <w:t>.</w:t>
      </w:r>
      <w:r w:rsidR="00740E7B" w:rsidRPr="00D0171E">
        <w:rPr>
          <w:sz w:val="24"/>
          <w:szCs w:val="24"/>
        </w:rPr>
        <w:t xml:space="preserve"> </w:t>
      </w:r>
      <w:r w:rsidRPr="00D0171E">
        <w:rPr>
          <w:sz w:val="24"/>
          <w:szCs w:val="24"/>
        </w:rPr>
        <w:t>Организатор запроса предложений вправе, при необходимости, изменить данный срок без каких-либо для себя последствий.</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0" w:name="_Ref93089454"/>
      <w:bookmarkStart w:id="121"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lastRenderedPageBreak/>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lastRenderedPageBreak/>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0A785FE4" w:rsidR="000944CB" w:rsidRPr="000944CB" w:rsidRDefault="00B20910"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Pr>
                <w:bCs/>
                <w:color w:val="FF0000"/>
                <w:sz w:val="24"/>
              </w:rPr>
              <w:t>С</w:t>
            </w:r>
            <w:r w:rsidRPr="00970BD0">
              <w:rPr>
                <w:bCs/>
                <w:color w:val="FF0000"/>
                <w:sz w:val="24"/>
              </w:rPr>
              <w:t>умм</w:t>
            </w:r>
            <w:r>
              <w:rPr>
                <w:bCs/>
                <w:color w:val="FF0000"/>
                <w:sz w:val="24"/>
              </w:rPr>
              <w:t>а</w:t>
            </w:r>
            <w:r w:rsidRPr="00970BD0">
              <w:rPr>
                <w:bCs/>
                <w:color w:val="FF0000"/>
                <w:sz w:val="24"/>
              </w:rPr>
              <w:t xml:space="preserve"> единичных расценок</w:t>
            </w:r>
          </w:p>
        </w:tc>
        <w:tc>
          <w:tcPr>
            <w:tcW w:w="1005" w:type="pct"/>
            <w:vAlign w:val="center"/>
          </w:tcPr>
          <w:p w14:paraId="23849B70" w14:textId="77777777" w:rsidR="000944CB" w:rsidRPr="00236DBA"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236DBA">
              <w:rPr>
                <w:b/>
                <w:bCs/>
                <w:sz w:val="24"/>
                <w:szCs w:val="24"/>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236DBA" w:rsidRDefault="00AF2870" w:rsidP="000944CB">
            <w:pPr>
              <w:widowControl w:val="0"/>
              <w:shd w:val="clear" w:color="auto" w:fill="FFFFFF"/>
              <w:autoSpaceDE w:val="0"/>
              <w:spacing w:before="60" w:after="100" w:line="264" w:lineRule="auto"/>
              <w:ind w:right="159"/>
              <w:jc w:val="center"/>
              <w:rPr>
                <w:b/>
                <w:bCs/>
                <w:sz w:val="24"/>
                <w:szCs w:val="24"/>
                <w:lang w:eastAsia="ar-SA"/>
              </w:rPr>
            </w:pPr>
            <w:r w:rsidRPr="00236DBA">
              <w:rPr>
                <w:b/>
                <w:bCs/>
                <w:sz w:val="24"/>
                <w:szCs w:val="24"/>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количество выполненных договоров).</w:t>
            </w:r>
          </w:p>
        </w:tc>
        <w:tc>
          <w:tcPr>
            <w:tcW w:w="1005" w:type="pct"/>
            <w:vAlign w:val="center"/>
          </w:tcPr>
          <w:p w14:paraId="24FB8844" w14:textId="11D2F945" w:rsidR="000944CB" w:rsidRPr="00236DBA" w:rsidRDefault="00E72897" w:rsidP="000944CB">
            <w:pPr>
              <w:widowControl w:val="0"/>
              <w:shd w:val="clear" w:color="auto" w:fill="FFFFFF"/>
              <w:autoSpaceDE w:val="0"/>
              <w:spacing w:before="60" w:after="100" w:line="264" w:lineRule="auto"/>
              <w:ind w:right="159"/>
              <w:jc w:val="center"/>
              <w:rPr>
                <w:b/>
                <w:bCs/>
                <w:color w:val="FF0000"/>
                <w:sz w:val="24"/>
                <w:szCs w:val="24"/>
                <w:lang w:eastAsia="ar-SA"/>
              </w:rPr>
            </w:pPr>
            <w:r w:rsidRPr="00236DBA">
              <w:rPr>
                <w:b/>
                <w:bCs/>
                <w:color w:val="FF0000"/>
                <w:sz w:val="24"/>
                <w:szCs w:val="24"/>
                <w:lang w:eastAsia="ar-SA"/>
              </w:rPr>
              <w:t>1</w:t>
            </w:r>
          </w:p>
        </w:tc>
      </w:tr>
    </w:tbl>
    <w:p w14:paraId="40018D2A" w14:textId="77777777" w:rsidR="00D33975" w:rsidRDefault="00D33975" w:rsidP="00D33975">
      <w:pPr>
        <w:pStyle w:val="3a"/>
        <w:keepNext w:val="0"/>
        <w:widowControl w:val="0"/>
        <w:tabs>
          <w:tab w:val="clear" w:pos="1134"/>
        </w:tabs>
        <w:suppressAutoHyphens w:val="0"/>
        <w:spacing w:before="240"/>
        <w:ind w:left="0" w:right="-92" w:firstLine="0"/>
        <w:jc w:val="both"/>
        <w:rPr>
          <w:color w:val="0000FF"/>
          <w:sz w:val="24"/>
        </w:rPr>
      </w:pPr>
      <w:r w:rsidRPr="00970BD0">
        <w:rPr>
          <w:color w:val="0000FF"/>
          <w:sz w:val="24"/>
        </w:rPr>
        <w:t>Коммерческая оценка предложений будет производиться по общей сумме единичных расценок, указанных в Заявке Участника</w:t>
      </w:r>
      <w:r>
        <w:rPr>
          <w:color w:val="0000FF"/>
          <w:sz w:val="24"/>
        </w:rPr>
        <w:t>.</w:t>
      </w:r>
    </w:p>
    <w:p w14:paraId="16915A47" w14:textId="77777777" w:rsidR="00D33975" w:rsidRPr="00D33975" w:rsidRDefault="00D33975" w:rsidP="00D33975">
      <w:pPr>
        <w:rPr>
          <w:lang w:eastAsia="en-US"/>
        </w:rPr>
      </w:pPr>
      <w:r w:rsidRPr="00970BD0">
        <w:rPr>
          <w:bCs/>
          <w:color w:val="FF0000"/>
          <w:sz w:val="24"/>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77777777"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Pr="00017EEA">
        <w:rPr>
          <w:b w:val="0"/>
          <w:sz w:val="22"/>
          <w:szCs w:val="24"/>
          <w:lang w:val="x-none" w:eastAsia="x-none"/>
        </w:rPr>
        <w:t>Суммарная стоимость единичных расценок</w:t>
      </w:r>
      <w:r w:rsidRPr="00017EEA">
        <w:rPr>
          <w:b w:val="0"/>
          <w:sz w:val="24"/>
          <w:szCs w:val="24"/>
          <w:lang w:val="x-none" w:eastAsia="x-none"/>
        </w:rPr>
        <w:t>»</w:t>
      </w:r>
    </w:p>
    <w:p w14:paraId="6AEE9FBF" w14:textId="77777777" w:rsidR="00CE302B" w:rsidRPr="00CE302B" w:rsidRDefault="00CE302B" w:rsidP="00CE302B">
      <w:pPr>
        <w:rPr>
          <w:sz w:val="24"/>
          <w:szCs w:val="24"/>
          <w:lang w:eastAsia="x-none"/>
        </w:rPr>
      </w:pPr>
      <w:r w:rsidRPr="00CE302B">
        <w:rPr>
          <w:sz w:val="24"/>
          <w:szCs w:val="24"/>
          <w:lang w:eastAsia="x-none"/>
        </w:rPr>
        <w:t xml:space="preserve">Рейтинг заявки по данному критерию рассчитывается по следующей формуле: </w:t>
      </w:r>
    </w:p>
    <w:p w14:paraId="5F73484A" w14:textId="77777777" w:rsidR="009A2A08" w:rsidRPr="00017EEA" w:rsidRDefault="009A2A08" w:rsidP="009A2A08">
      <w:pPr>
        <w:widowControl w:val="0"/>
        <w:autoSpaceDE w:val="0"/>
        <w:autoSpaceDN w:val="0"/>
        <w:adjustRightInd w:val="0"/>
        <w:ind w:firstLine="720"/>
        <w:jc w:val="center"/>
        <w:rPr>
          <w:sz w:val="28"/>
          <w:szCs w:val="28"/>
        </w:rPr>
      </w:pPr>
      <w:r w:rsidRPr="00017EEA">
        <w:rPr>
          <w:noProof/>
          <w:position w:val="-26"/>
          <w:sz w:val="28"/>
          <w:szCs w:val="28"/>
        </w:rPr>
        <w:drawing>
          <wp:inline distT="0" distB="0" distL="0" distR="0" wp14:anchorId="5AFE120D" wp14:editId="6007628C">
            <wp:extent cx="1133475" cy="476250"/>
            <wp:effectExtent l="0" t="0" r="9525" b="0"/>
            <wp:docPr id="9" name="Рисунок 9" descr="base_1_20724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base_1_207240_32768"/>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3475" cy="476250"/>
                    </a:xfrm>
                    <a:prstGeom prst="rect">
                      <a:avLst/>
                    </a:prstGeom>
                    <a:noFill/>
                    <a:ln>
                      <a:noFill/>
                    </a:ln>
                  </pic:spPr>
                </pic:pic>
              </a:graphicData>
            </a:graphic>
          </wp:inline>
        </w:drawing>
      </w:r>
      <w:r w:rsidRPr="00017EEA">
        <w:rPr>
          <w:sz w:val="28"/>
          <w:szCs w:val="28"/>
        </w:rPr>
        <w:t>,</w:t>
      </w:r>
    </w:p>
    <w:p w14:paraId="64A919EB" w14:textId="77777777" w:rsidR="009A2A08" w:rsidRPr="00017EEA" w:rsidRDefault="009A2A08" w:rsidP="009A2A08">
      <w:pPr>
        <w:widowControl w:val="0"/>
        <w:autoSpaceDE w:val="0"/>
        <w:autoSpaceDN w:val="0"/>
        <w:adjustRightInd w:val="0"/>
        <w:ind w:firstLine="540"/>
        <w:jc w:val="both"/>
        <w:rPr>
          <w:i/>
          <w:sz w:val="24"/>
          <w:szCs w:val="24"/>
        </w:rPr>
      </w:pPr>
      <w:r w:rsidRPr="00017EEA">
        <w:rPr>
          <w:i/>
          <w:sz w:val="24"/>
          <w:szCs w:val="24"/>
        </w:rPr>
        <w:t>где:</w:t>
      </w:r>
    </w:p>
    <w:p w14:paraId="465440CF" w14:textId="77777777" w:rsidR="009A2A08" w:rsidRPr="00017EEA" w:rsidRDefault="009A2A08" w:rsidP="009A2A08">
      <w:pPr>
        <w:widowControl w:val="0"/>
        <w:autoSpaceDE w:val="0"/>
        <w:autoSpaceDN w:val="0"/>
        <w:adjustRightInd w:val="0"/>
        <w:ind w:firstLine="540"/>
        <w:jc w:val="both"/>
        <w:rPr>
          <w:sz w:val="24"/>
          <w:szCs w:val="24"/>
        </w:rPr>
      </w:pPr>
      <w:r w:rsidRPr="00017EEA">
        <w:rPr>
          <w:sz w:val="24"/>
          <w:szCs w:val="24"/>
        </w:rPr>
        <w:t>Ц</w:t>
      </w:r>
      <w:r w:rsidRPr="00017EEA">
        <w:rPr>
          <w:sz w:val="24"/>
          <w:szCs w:val="24"/>
          <w:vertAlign w:val="subscript"/>
        </w:rPr>
        <w:t>i</w:t>
      </w:r>
      <w:r w:rsidRPr="00017EEA">
        <w:rPr>
          <w:sz w:val="24"/>
          <w:szCs w:val="24"/>
        </w:rPr>
        <w:t xml:space="preserve"> - предложение участника закупки, заявка (предложение) которого оценивается;</w:t>
      </w:r>
    </w:p>
    <w:p w14:paraId="29472961" w14:textId="77777777" w:rsidR="00017EEA" w:rsidRDefault="009A2A08" w:rsidP="009A2A08">
      <w:pPr>
        <w:widowControl w:val="0"/>
        <w:tabs>
          <w:tab w:val="left" w:pos="1134"/>
        </w:tabs>
        <w:ind w:left="567"/>
        <w:jc w:val="both"/>
        <w:rPr>
          <w:sz w:val="24"/>
          <w:szCs w:val="24"/>
        </w:rPr>
      </w:pPr>
      <w:r w:rsidRPr="00017EEA">
        <w:rPr>
          <w:sz w:val="24"/>
          <w:szCs w:val="24"/>
        </w:rPr>
        <w:t>Ц</w:t>
      </w:r>
      <w:r w:rsidRPr="00017EEA">
        <w:rPr>
          <w:sz w:val="24"/>
          <w:szCs w:val="24"/>
          <w:vertAlign w:val="subscript"/>
        </w:rPr>
        <w:t>min</w:t>
      </w:r>
      <w:r w:rsidRPr="00017EEA">
        <w:rPr>
          <w:sz w:val="24"/>
          <w:szCs w:val="24"/>
        </w:rPr>
        <w:t xml:space="preserve"> - минимальное предложение из предложений по критерию оценки, сделанных участниками закупки, заявки которых признаны соответствующими установленных отборочным требованиям</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lastRenderedPageBreak/>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171EDF9F" w14:textId="77777777"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14:paraId="1675A12B" w14:textId="77777777" w:rsidR="000D1A6C" w:rsidRPr="000D1A6C" w:rsidRDefault="000D1A6C" w:rsidP="000D1A6C">
      <w:pPr>
        <w:jc w:val="both"/>
        <w:rPr>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14:paraId="39B4B042" w14:textId="77777777" w:rsidR="000D1A6C" w:rsidRPr="000D1A6C" w:rsidRDefault="000D1A6C" w:rsidP="000D1A6C">
      <w:pPr>
        <w:jc w:val="both"/>
        <w:rPr>
          <w:sz w:val="24"/>
          <w:szCs w:val="24"/>
        </w:rPr>
      </w:pPr>
    </w:p>
    <w:p w14:paraId="63DAB24F" w14:textId="77777777" w:rsidR="009A2A08" w:rsidRPr="009A2A08" w:rsidRDefault="009A2A08" w:rsidP="009A2A08">
      <w:pPr>
        <w:rPr>
          <w:sz w:val="24"/>
          <w:szCs w:val="24"/>
          <w:lang w:val="en-US"/>
        </w:rPr>
      </w:pPr>
      <w:r w:rsidRPr="000D1A6C">
        <w:rPr>
          <w:sz w:val="24"/>
          <w:szCs w:val="24"/>
          <w:lang w:val="en-US"/>
        </w:rPr>
        <w:t>Ri</w:t>
      </w:r>
      <w:r w:rsidRPr="009A2A08">
        <w:rPr>
          <w:sz w:val="24"/>
          <w:szCs w:val="24"/>
          <w:lang w:val="en-US"/>
        </w:rPr>
        <w:t xml:space="preserve"> = (</w:t>
      </w:r>
      <w:r w:rsidRPr="000D1A6C">
        <w:rPr>
          <w:sz w:val="24"/>
          <w:szCs w:val="24"/>
        </w:rPr>
        <w:t>ЦБ</w:t>
      </w:r>
      <w:r w:rsidRPr="000D1A6C">
        <w:rPr>
          <w:sz w:val="24"/>
          <w:szCs w:val="24"/>
          <w:lang w:val="en-US"/>
        </w:rPr>
        <w:t>i</w:t>
      </w:r>
      <w:r w:rsidRPr="009A2A08">
        <w:rPr>
          <w:sz w:val="24"/>
          <w:szCs w:val="24"/>
          <w:lang w:val="en-US"/>
        </w:rPr>
        <w:t xml:space="preserve"> </w:t>
      </w:r>
      <w:r w:rsidRPr="000D1A6C">
        <w:rPr>
          <w:sz w:val="24"/>
          <w:szCs w:val="24"/>
          <w:lang w:val="en-US"/>
        </w:rPr>
        <w:t>x</w:t>
      </w:r>
      <w:r w:rsidRPr="009A2A08">
        <w:rPr>
          <w:sz w:val="24"/>
          <w:szCs w:val="24"/>
          <w:lang w:val="en-US"/>
        </w:rPr>
        <w:t xml:space="preserve"> </w:t>
      </w:r>
      <w:r w:rsidRPr="000D1A6C">
        <w:rPr>
          <w:sz w:val="24"/>
          <w:szCs w:val="24"/>
          <w:lang w:val="en-US"/>
        </w:rPr>
        <w:t>Vs</w:t>
      </w:r>
      <w:r w:rsidRPr="009A2A08">
        <w:rPr>
          <w:sz w:val="24"/>
          <w:szCs w:val="24"/>
          <w:lang w:val="en-US"/>
        </w:rPr>
        <w:t>) + (</w:t>
      </w:r>
      <w:r w:rsidRPr="000D1A6C">
        <w:rPr>
          <w:sz w:val="24"/>
          <w:szCs w:val="24"/>
          <w:lang w:val="en-US"/>
        </w:rPr>
        <w:t>K</w:t>
      </w:r>
      <w:r w:rsidRPr="009A2A08">
        <w:rPr>
          <w:sz w:val="24"/>
          <w:szCs w:val="24"/>
          <w:lang w:val="en-US"/>
        </w:rPr>
        <w:t xml:space="preserve">1 </w:t>
      </w:r>
      <w:r w:rsidRPr="000D1A6C">
        <w:rPr>
          <w:sz w:val="24"/>
          <w:szCs w:val="24"/>
          <w:lang w:val="en-US"/>
        </w:rPr>
        <w:t>x</w:t>
      </w:r>
      <w:r w:rsidRPr="009A2A08">
        <w:rPr>
          <w:sz w:val="24"/>
          <w:szCs w:val="24"/>
          <w:lang w:val="en-US"/>
        </w:rPr>
        <w:t xml:space="preserve"> </w:t>
      </w:r>
      <w:r w:rsidRPr="000D1A6C">
        <w:rPr>
          <w:sz w:val="24"/>
          <w:szCs w:val="24"/>
          <w:lang w:val="en-US"/>
        </w:rPr>
        <w:t>V</w:t>
      </w:r>
      <w:r w:rsidRPr="009A2A08">
        <w:rPr>
          <w:sz w:val="24"/>
          <w:szCs w:val="24"/>
          <w:lang w:val="en-US"/>
        </w:rPr>
        <w:t xml:space="preserve">1) </w:t>
      </w:r>
      <w:r w:rsidRPr="000D1A6C">
        <w:rPr>
          <w:sz w:val="24"/>
          <w:szCs w:val="24"/>
          <w:lang w:val="en-US"/>
        </w:rPr>
        <w:t>x</w:t>
      </w:r>
      <w:r w:rsidRPr="009A2A08">
        <w:rPr>
          <w:sz w:val="24"/>
          <w:szCs w:val="24"/>
          <w:lang w:val="en-US"/>
        </w:rPr>
        <w:t xml:space="preserve"> </w:t>
      </w:r>
      <w:r w:rsidRPr="000D1A6C">
        <w:rPr>
          <w:sz w:val="24"/>
          <w:szCs w:val="24"/>
          <w:lang w:val="en-US"/>
        </w:rPr>
        <w:t>Vk</w:t>
      </w:r>
    </w:p>
    <w:p w14:paraId="57F774D6" w14:textId="77777777" w:rsidR="009A2A08" w:rsidRPr="000D1A6C" w:rsidRDefault="009A2A08" w:rsidP="009A2A08">
      <w:pPr>
        <w:rPr>
          <w:sz w:val="24"/>
          <w:szCs w:val="24"/>
        </w:rPr>
      </w:pPr>
      <w:r w:rsidRPr="009A2A08">
        <w:rPr>
          <w:sz w:val="24"/>
          <w:szCs w:val="24"/>
          <w:lang w:val="en-US"/>
        </w:rPr>
        <w:t xml:space="preserve">  </w:t>
      </w:r>
      <w:r w:rsidRPr="000D1A6C">
        <w:rPr>
          <w:sz w:val="24"/>
          <w:szCs w:val="24"/>
        </w:rPr>
        <w:t>где:</w:t>
      </w:r>
    </w:p>
    <w:p w14:paraId="4B4A2469" w14:textId="77777777" w:rsidR="009A2A08" w:rsidRPr="000D1A6C" w:rsidRDefault="009A2A08" w:rsidP="009A2A08">
      <w:pPr>
        <w:rPr>
          <w:sz w:val="24"/>
          <w:szCs w:val="24"/>
        </w:rPr>
      </w:pPr>
      <w:r w:rsidRPr="000D1A6C">
        <w:rPr>
          <w:sz w:val="24"/>
          <w:szCs w:val="24"/>
          <w:lang w:val="en-US"/>
        </w:rPr>
        <w:t>Ri</w:t>
      </w:r>
      <w:r w:rsidRPr="000D1A6C">
        <w:rPr>
          <w:sz w:val="24"/>
          <w:szCs w:val="24"/>
        </w:rPr>
        <w:t xml:space="preserve"> - общий рейтинг предпочтительности  </w:t>
      </w:r>
      <w:r w:rsidRPr="000D1A6C">
        <w:rPr>
          <w:sz w:val="24"/>
          <w:szCs w:val="24"/>
          <w:lang w:val="en-US"/>
        </w:rPr>
        <w:t>i</w:t>
      </w:r>
      <w:r w:rsidRPr="000D1A6C">
        <w:rPr>
          <w:sz w:val="24"/>
          <w:szCs w:val="24"/>
        </w:rPr>
        <w:t>-й заявки;</w:t>
      </w:r>
    </w:p>
    <w:p w14:paraId="7663B4D8" w14:textId="77777777" w:rsidR="009A2A08" w:rsidRPr="000D1A6C" w:rsidRDefault="009A2A08" w:rsidP="009A2A08">
      <w:pPr>
        <w:rPr>
          <w:sz w:val="24"/>
          <w:szCs w:val="24"/>
        </w:rPr>
      </w:pPr>
      <w:r w:rsidRPr="000D1A6C">
        <w:rPr>
          <w:sz w:val="24"/>
          <w:szCs w:val="24"/>
        </w:rPr>
        <w:t>ЦБ</w:t>
      </w:r>
      <w:r w:rsidRPr="000D1A6C">
        <w:rPr>
          <w:sz w:val="24"/>
          <w:szCs w:val="24"/>
          <w:lang w:val="en-US"/>
        </w:rPr>
        <w:t>i</w:t>
      </w:r>
      <w:r w:rsidRPr="000D1A6C">
        <w:rPr>
          <w:sz w:val="24"/>
          <w:szCs w:val="24"/>
        </w:rPr>
        <w:t xml:space="preserve"> - рейтинг </w:t>
      </w:r>
      <w:r w:rsidRPr="000D1A6C">
        <w:rPr>
          <w:sz w:val="24"/>
          <w:szCs w:val="24"/>
          <w:lang w:val="en-US"/>
        </w:rPr>
        <w:t>i</w:t>
      </w:r>
      <w:r w:rsidRPr="000D1A6C">
        <w:rPr>
          <w:sz w:val="24"/>
          <w:szCs w:val="24"/>
        </w:rPr>
        <w:t>-й заявки по критерию стоимости;</w:t>
      </w:r>
    </w:p>
    <w:p w14:paraId="6A1DC777" w14:textId="77777777" w:rsidR="009A2A08" w:rsidRPr="000D1A6C" w:rsidRDefault="009A2A08" w:rsidP="009A2A08">
      <w:pPr>
        <w:rPr>
          <w:sz w:val="24"/>
          <w:szCs w:val="24"/>
        </w:rPr>
      </w:pPr>
      <w:r w:rsidRPr="000D1A6C">
        <w:rPr>
          <w:sz w:val="24"/>
          <w:szCs w:val="24"/>
          <w:lang w:val="en-US"/>
        </w:rPr>
        <w:t>Vs</w:t>
      </w:r>
      <w:r w:rsidRPr="000D1A6C">
        <w:rPr>
          <w:sz w:val="24"/>
          <w:szCs w:val="24"/>
        </w:rPr>
        <w:t xml:space="preserve"> - весовой коэффициент по критерию стоимости;</w:t>
      </w:r>
    </w:p>
    <w:p w14:paraId="137A09F5" w14:textId="77777777" w:rsidR="009A2A08" w:rsidRPr="000D1A6C" w:rsidRDefault="009A2A08" w:rsidP="009A2A08">
      <w:pPr>
        <w:rPr>
          <w:sz w:val="24"/>
          <w:szCs w:val="24"/>
        </w:rPr>
      </w:pPr>
      <w:r w:rsidRPr="000D1A6C">
        <w:rPr>
          <w:sz w:val="24"/>
          <w:szCs w:val="24"/>
          <w:lang w:val="en-US"/>
        </w:rPr>
        <w:t>K</w:t>
      </w:r>
      <w:r w:rsidRPr="000D1A6C">
        <w:rPr>
          <w:sz w:val="24"/>
          <w:szCs w:val="24"/>
        </w:rPr>
        <w:t>1 - балльные оценки по соответствующему подкритерию критерия № 2 "Квалификация участника" без учета весовых коэффициентов;</w:t>
      </w:r>
    </w:p>
    <w:p w14:paraId="4BDCBACB" w14:textId="77777777" w:rsidR="00886779" w:rsidRPr="00D0171E" w:rsidRDefault="009A2A08" w:rsidP="00FE0A41">
      <w:pPr>
        <w:pStyle w:val="af5"/>
        <w:widowControl w:val="0"/>
        <w:tabs>
          <w:tab w:val="clear" w:pos="1134"/>
        </w:tabs>
        <w:spacing w:line="240" w:lineRule="auto"/>
        <w:ind w:left="0" w:firstLine="0"/>
        <w:rPr>
          <w:bCs/>
          <w:sz w:val="24"/>
          <w:lang w:eastAsia="x-none"/>
        </w:rPr>
      </w:pPr>
      <w:r w:rsidRPr="000D1A6C">
        <w:rPr>
          <w:sz w:val="24"/>
          <w:szCs w:val="24"/>
          <w:lang w:val="en-US"/>
        </w:rPr>
        <w:t>V</w:t>
      </w:r>
      <w:r w:rsidRPr="000D1A6C">
        <w:rPr>
          <w:sz w:val="24"/>
          <w:szCs w:val="24"/>
        </w:rPr>
        <w:t>1 - весовой коэффициент по соответствующему подкритерию критерия № 2 "Квалификация участника"</w:t>
      </w: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w:t>
      </w:r>
      <w:r w:rsidRPr="00D0171E">
        <w:rPr>
          <w:color w:val="000000"/>
          <w:sz w:val="24"/>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lastRenderedPageBreak/>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lastRenderedPageBreak/>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информации о контрагенте-резиденте, составленной по форме Приложения № 5 к проекту договора</w:t>
      </w:r>
      <w:r>
        <w:rPr>
          <w:sz w:val="24"/>
          <w:szCs w:val="24"/>
        </w:rPr>
        <w:t>;</w:t>
      </w:r>
    </w:p>
    <w:p w14:paraId="44E79F29" w14:textId="7777777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оригинал подписанного со стороны контрагента согласия на обработку персональных данных по форме Приложения № 3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w:t>
      </w:r>
      <w:r w:rsidRPr="00D0171E">
        <w:rPr>
          <w:bCs/>
          <w:sz w:val="24"/>
          <w:szCs w:val="24"/>
        </w:rPr>
        <w:lastRenderedPageBreak/>
        <w:t>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lastRenderedPageBreak/>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 xml:space="preserve">При наличии информации о неправомерных действиях гаранта в отношении Группы </w:t>
      </w:r>
      <w:r w:rsidRPr="004F7D41">
        <w:rPr>
          <w:snapToGrid w:val="0"/>
          <w:sz w:val="24"/>
          <w:szCs w:val="24"/>
        </w:rPr>
        <w:lastRenderedPageBreak/>
        <w:t>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lastRenderedPageBreak/>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52F646EA" w:rsidR="00E55565" w:rsidRDefault="00236DBA" w:rsidP="00E55565">
            <w:pPr>
              <w:ind w:left="333"/>
              <w:jc w:val="both"/>
              <w:rPr>
                <w:sz w:val="24"/>
                <w:szCs w:val="24"/>
              </w:rPr>
            </w:pPr>
            <w:r>
              <w:rPr>
                <w:b/>
                <w:sz w:val="24"/>
                <w:szCs w:val="24"/>
              </w:rPr>
              <w:t>230</w:t>
            </w:r>
            <w:r w:rsidR="00976B89" w:rsidRPr="00976B89">
              <w:rPr>
                <w:b/>
                <w:sz w:val="24"/>
                <w:szCs w:val="24"/>
              </w:rPr>
              <w:t xml:space="preserve"> </w:t>
            </w:r>
            <w:r>
              <w:rPr>
                <w:b/>
                <w:sz w:val="24"/>
                <w:szCs w:val="24"/>
              </w:rPr>
              <w:t>5</w:t>
            </w:r>
            <w:r w:rsidR="00976B89" w:rsidRPr="00976B89">
              <w:rPr>
                <w:b/>
                <w:sz w:val="24"/>
                <w:szCs w:val="24"/>
              </w:rPr>
              <w:t xml:space="preserve">00 </w:t>
            </w:r>
            <w:r w:rsidR="00976B89" w:rsidRPr="00976B89">
              <w:rPr>
                <w:sz w:val="24"/>
                <w:szCs w:val="24"/>
              </w:rPr>
              <w:t>(</w:t>
            </w:r>
            <w:r>
              <w:rPr>
                <w:sz w:val="24"/>
                <w:szCs w:val="24"/>
              </w:rPr>
              <w:t>Двести тридцать тысяч пятьсот</w:t>
            </w:r>
            <w:r w:rsidR="00976B89" w:rsidRPr="00976B89">
              <w:rPr>
                <w:sz w:val="24"/>
                <w:szCs w:val="24"/>
              </w:rPr>
              <w:t>) рублей 00 копеек</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28C675D7" w:rsidR="00976B89" w:rsidRPr="00E55565" w:rsidRDefault="00236DBA" w:rsidP="00B20910">
            <w:pPr>
              <w:ind w:left="333"/>
              <w:jc w:val="both"/>
            </w:pPr>
            <w:r>
              <w:rPr>
                <w:b/>
                <w:sz w:val="24"/>
                <w:szCs w:val="24"/>
              </w:rPr>
              <w:t>46</w:t>
            </w:r>
            <w:r w:rsidR="00976B89" w:rsidRPr="00976B89">
              <w:rPr>
                <w:b/>
                <w:sz w:val="24"/>
                <w:szCs w:val="24"/>
              </w:rPr>
              <w:t xml:space="preserve"> </w:t>
            </w:r>
            <w:r>
              <w:rPr>
                <w:b/>
                <w:sz w:val="24"/>
                <w:szCs w:val="24"/>
              </w:rPr>
              <w:t>100</w:t>
            </w:r>
            <w:r w:rsidR="00976B89" w:rsidRPr="00976B89">
              <w:rPr>
                <w:b/>
                <w:sz w:val="24"/>
                <w:szCs w:val="24"/>
              </w:rPr>
              <w:t xml:space="preserve"> </w:t>
            </w:r>
            <w:r w:rsidR="00976B89" w:rsidRPr="00976B89">
              <w:rPr>
                <w:sz w:val="24"/>
                <w:szCs w:val="24"/>
              </w:rPr>
              <w:t>(</w:t>
            </w:r>
            <w:r>
              <w:rPr>
                <w:sz w:val="24"/>
                <w:szCs w:val="24"/>
              </w:rPr>
              <w:t>Сорок шесть тысяч сто</w:t>
            </w:r>
            <w:r w:rsidR="00976B89" w:rsidRPr="00976B89">
              <w:rPr>
                <w:sz w:val="24"/>
                <w:szCs w:val="24"/>
              </w:rPr>
              <w:t>) рублей 00 копейки</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020C80F9" w:rsidR="00976B89" w:rsidRPr="00976B89" w:rsidRDefault="00236DBA" w:rsidP="00B20910">
            <w:pPr>
              <w:ind w:left="333"/>
              <w:jc w:val="both"/>
            </w:pPr>
            <w:r>
              <w:rPr>
                <w:b/>
                <w:sz w:val="24"/>
                <w:szCs w:val="24"/>
              </w:rPr>
              <w:t>276</w:t>
            </w:r>
            <w:r w:rsidR="00976B89" w:rsidRPr="00976B89">
              <w:rPr>
                <w:b/>
                <w:sz w:val="24"/>
                <w:szCs w:val="24"/>
              </w:rPr>
              <w:t xml:space="preserve"> 6</w:t>
            </w:r>
            <w:r>
              <w:rPr>
                <w:b/>
                <w:sz w:val="24"/>
                <w:szCs w:val="24"/>
              </w:rPr>
              <w:t>0</w:t>
            </w:r>
            <w:r w:rsidR="00976B89" w:rsidRPr="00976B89">
              <w:rPr>
                <w:b/>
                <w:sz w:val="24"/>
                <w:szCs w:val="24"/>
              </w:rPr>
              <w:t xml:space="preserve">0 </w:t>
            </w:r>
            <w:r w:rsidR="00976B89" w:rsidRPr="00976B89">
              <w:rPr>
                <w:sz w:val="24"/>
                <w:szCs w:val="24"/>
              </w:rPr>
              <w:t>(</w:t>
            </w:r>
            <w:r>
              <w:rPr>
                <w:sz w:val="24"/>
                <w:szCs w:val="24"/>
              </w:rPr>
              <w:t>Двести семьдесят шесть тысяч шестьсот</w:t>
            </w:r>
            <w:r w:rsidR="00976B89" w:rsidRPr="00976B89">
              <w:rPr>
                <w:sz w:val="24"/>
                <w:szCs w:val="24"/>
              </w:rPr>
              <w:t>) рублей 00 копеек</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08C4D5BA" w14:textId="77777777" w:rsidR="00C10FF5" w:rsidRDefault="00C10FF5" w:rsidP="00C10FF5">
      <w:pPr>
        <w:keepNext/>
        <w:keepLines/>
        <w:widowControl w:val="0"/>
        <w:ind w:left="-180" w:firstLine="322"/>
        <w:jc w:val="both"/>
        <w:rPr>
          <w:sz w:val="24"/>
          <w:szCs w:val="24"/>
        </w:rPr>
      </w:pPr>
      <w:r>
        <w:rPr>
          <w:sz w:val="24"/>
          <w:szCs w:val="24"/>
        </w:rPr>
        <w:t>Таблица 1</w:t>
      </w:r>
    </w:p>
    <w:tbl>
      <w:tblPr>
        <w:tblW w:w="11057" w:type="dxa"/>
        <w:tblInd w:w="-572" w:type="dxa"/>
        <w:tblLayout w:type="fixed"/>
        <w:tblCellMar>
          <w:left w:w="10" w:type="dxa"/>
          <w:right w:w="10" w:type="dxa"/>
        </w:tblCellMar>
        <w:tblLook w:val="04A0" w:firstRow="1" w:lastRow="0" w:firstColumn="1" w:lastColumn="0" w:noHBand="0" w:noVBand="1"/>
      </w:tblPr>
      <w:tblGrid>
        <w:gridCol w:w="3119"/>
        <w:gridCol w:w="1984"/>
        <w:gridCol w:w="2410"/>
        <w:gridCol w:w="3544"/>
      </w:tblGrid>
      <w:tr w:rsidR="00791699" w:rsidRPr="00C10FF5" w14:paraId="2AF6F3D4" w14:textId="77777777" w:rsidTr="00791699">
        <w:trPr>
          <w:trHeight w:val="765"/>
        </w:trPr>
        <w:tc>
          <w:tcPr>
            <w:tcW w:w="3119"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14:paraId="02480788" w14:textId="77777777" w:rsidR="00791699" w:rsidRPr="00C10FF5" w:rsidRDefault="00791699" w:rsidP="00C10FF5">
            <w:pPr>
              <w:suppressAutoHyphens/>
              <w:autoSpaceDN w:val="0"/>
              <w:jc w:val="center"/>
              <w:textAlignment w:val="baseline"/>
              <w:rPr>
                <w:b/>
                <w:bCs/>
                <w:sz w:val="22"/>
                <w:szCs w:val="22"/>
              </w:rPr>
            </w:pPr>
            <w:r w:rsidRPr="00C10FF5">
              <w:rPr>
                <w:b/>
                <w:bCs/>
                <w:sz w:val="22"/>
                <w:szCs w:val="22"/>
              </w:rPr>
              <w:t>Вид услуг</w:t>
            </w:r>
          </w:p>
        </w:tc>
        <w:tc>
          <w:tcPr>
            <w:tcW w:w="1984" w:type="dxa"/>
            <w:tcBorders>
              <w:top w:val="single" w:sz="4" w:space="0" w:color="808080"/>
              <w:left w:val="single" w:sz="4" w:space="0" w:color="808080"/>
              <w:bottom w:val="single" w:sz="4" w:space="0" w:color="808080"/>
              <w:right w:val="single" w:sz="4" w:space="0" w:color="808080"/>
            </w:tcBorders>
            <w:shd w:val="clear" w:color="auto" w:fill="F2F2F2"/>
          </w:tcPr>
          <w:p w14:paraId="2055A069" w14:textId="792CE94C" w:rsidR="00791699" w:rsidRPr="00D55064" w:rsidRDefault="00791699" w:rsidP="00C10FF5">
            <w:pPr>
              <w:suppressAutoHyphens/>
              <w:autoSpaceDN w:val="0"/>
              <w:jc w:val="center"/>
              <w:textAlignment w:val="baseline"/>
              <w:rPr>
                <w:b/>
                <w:bCs/>
                <w:sz w:val="22"/>
                <w:szCs w:val="22"/>
              </w:rPr>
            </w:pPr>
            <w:r w:rsidRPr="00D55064">
              <w:rPr>
                <w:rFonts w:eastAsia="Calibri"/>
                <w:b/>
                <w:sz w:val="22"/>
                <w:szCs w:val="22"/>
                <w:lang w:eastAsia="en-US"/>
              </w:rPr>
              <w:t>Вид транспортного средства</w:t>
            </w:r>
            <w:r>
              <w:rPr>
                <w:rFonts w:eastAsia="Calibri"/>
                <w:b/>
                <w:sz w:val="22"/>
                <w:szCs w:val="22"/>
                <w:lang w:eastAsia="en-US"/>
              </w:rPr>
              <w:t xml:space="preserve">, </w:t>
            </w:r>
            <w:r w:rsidRPr="00791699">
              <w:rPr>
                <w:rFonts w:eastAsia="Calibri"/>
                <w:b/>
                <w:color w:val="FF0000"/>
                <w:sz w:val="22"/>
                <w:szCs w:val="22"/>
                <w:lang w:eastAsia="en-US"/>
              </w:rPr>
              <w:t>марка</w:t>
            </w:r>
            <w:r>
              <w:rPr>
                <w:rFonts w:eastAsia="Calibri"/>
                <w:b/>
                <w:sz w:val="22"/>
                <w:szCs w:val="22"/>
                <w:lang w:eastAsia="en-US"/>
              </w:rPr>
              <w:t>**</w:t>
            </w:r>
          </w:p>
        </w:tc>
        <w:tc>
          <w:tcPr>
            <w:tcW w:w="2410" w:type="dxa"/>
            <w:tcBorders>
              <w:top w:val="single" w:sz="4" w:space="0" w:color="808080"/>
              <w:left w:val="single" w:sz="4" w:space="0" w:color="808080"/>
              <w:bottom w:val="single" w:sz="4" w:space="0" w:color="808080"/>
              <w:right w:val="single" w:sz="4" w:space="0" w:color="808080"/>
            </w:tcBorders>
            <w:shd w:val="clear" w:color="auto" w:fill="F2F2F2"/>
            <w:vAlign w:val="center"/>
          </w:tcPr>
          <w:p w14:paraId="0FF791E0" w14:textId="77777777" w:rsidR="00791699" w:rsidRPr="00C10FF5" w:rsidRDefault="00791699" w:rsidP="0070431D">
            <w:pPr>
              <w:suppressAutoHyphens/>
              <w:autoSpaceDN w:val="0"/>
              <w:jc w:val="center"/>
              <w:textAlignment w:val="baseline"/>
              <w:rPr>
                <w:b/>
                <w:bCs/>
                <w:sz w:val="22"/>
                <w:szCs w:val="22"/>
              </w:rPr>
            </w:pPr>
            <w:r>
              <w:rPr>
                <w:b/>
                <w:bCs/>
                <w:sz w:val="22"/>
                <w:szCs w:val="22"/>
              </w:rPr>
              <w:t>Кол-во посадочных мест (чел)</w:t>
            </w:r>
          </w:p>
        </w:tc>
        <w:tc>
          <w:tcPr>
            <w:tcW w:w="3544"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14:paraId="03A6A43A" w14:textId="77777777" w:rsidR="00791699" w:rsidRPr="00C10FF5" w:rsidRDefault="00791699" w:rsidP="00C10FF5">
            <w:pPr>
              <w:suppressAutoHyphens/>
              <w:autoSpaceDN w:val="0"/>
              <w:jc w:val="center"/>
              <w:textAlignment w:val="baseline"/>
              <w:rPr>
                <w:b/>
                <w:bCs/>
                <w:sz w:val="22"/>
                <w:szCs w:val="22"/>
              </w:rPr>
            </w:pPr>
            <w:r w:rsidRPr="00C10FF5">
              <w:rPr>
                <w:b/>
                <w:bCs/>
                <w:sz w:val="22"/>
                <w:szCs w:val="22"/>
              </w:rPr>
              <w:t xml:space="preserve">Стоимость услуги, за 1 </w:t>
            </w:r>
            <w:r>
              <w:rPr>
                <w:b/>
                <w:bCs/>
                <w:sz w:val="22"/>
                <w:szCs w:val="22"/>
              </w:rPr>
              <w:t>час работы</w:t>
            </w:r>
            <w:r w:rsidRPr="00C10FF5">
              <w:rPr>
                <w:b/>
                <w:bCs/>
                <w:sz w:val="22"/>
                <w:szCs w:val="22"/>
              </w:rPr>
              <w:t xml:space="preserve">, руб. </w:t>
            </w:r>
            <w:r>
              <w:rPr>
                <w:b/>
                <w:bCs/>
                <w:sz w:val="22"/>
                <w:szCs w:val="22"/>
              </w:rPr>
              <w:t>с/</w:t>
            </w:r>
            <w:r w:rsidRPr="00C10FF5">
              <w:rPr>
                <w:b/>
                <w:bCs/>
                <w:sz w:val="22"/>
                <w:szCs w:val="22"/>
              </w:rPr>
              <w:t>без НДС</w:t>
            </w:r>
            <w:r>
              <w:rPr>
                <w:b/>
                <w:bCs/>
                <w:sz w:val="22"/>
                <w:szCs w:val="22"/>
              </w:rPr>
              <w:t>*</w:t>
            </w:r>
          </w:p>
        </w:tc>
      </w:tr>
      <w:tr w:rsidR="00791699" w:rsidRPr="00C10FF5" w14:paraId="64EA79E5" w14:textId="77777777" w:rsidTr="00791699">
        <w:trPr>
          <w:trHeight w:val="828"/>
        </w:trPr>
        <w:tc>
          <w:tcPr>
            <w:tcW w:w="3119"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060EB472" w14:textId="5D19B8BB" w:rsidR="00791699" w:rsidRPr="00D55064" w:rsidRDefault="00791699" w:rsidP="00934DB6">
            <w:pPr>
              <w:spacing w:line="228" w:lineRule="auto"/>
              <w:jc w:val="center"/>
              <w:rPr>
                <w:rFonts w:eastAsia="Calibri"/>
                <w:sz w:val="22"/>
                <w:szCs w:val="22"/>
                <w:lang w:eastAsia="en-US"/>
              </w:rPr>
            </w:pPr>
            <w:r>
              <w:rPr>
                <w:rFonts w:eastAsia="Calibri"/>
                <w:sz w:val="22"/>
                <w:szCs w:val="22"/>
                <w:lang w:eastAsia="en-US"/>
              </w:rPr>
              <w:t>Оказание транспортных услуг по перевозке детей</w:t>
            </w:r>
          </w:p>
        </w:tc>
        <w:tc>
          <w:tcPr>
            <w:tcW w:w="1984" w:type="dxa"/>
            <w:tcBorders>
              <w:top w:val="single" w:sz="4" w:space="0" w:color="auto"/>
              <w:left w:val="single" w:sz="4" w:space="0" w:color="auto"/>
              <w:bottom w:val="single" w:sz="4" w:space="0" w:color="auto"/>
              <w:right w:val="single" w:sz="4" w:space="0" w:color="auto"/>
            </w:tcBorders>
            <w:vAlign w:val="center"/>
          </w:tcPr>
          <w:p w14:paraId="7D2D2D09" w14:textId="6C7BF8D9" w:rsidR="00791699" w:rsidRPr="0070431D" w:rsidRDefault="00791699" w:rsidP="00934DB6">
            <w:pPr>
              <w:spacing w:line="228" w:lineRule="auto"/>
              <w:jc w:val="center"/>
              <w:rPr>
                <w:rFonts w:eastAsia="Calibri"/>
                <w:sz w:val="22"/>
                <w:szCs w:val="22"/>
              </w:rPr>
            </w:pPr>
            <w:r w:rsidRPr="00C25714">
              <w:rPr>
                <w:rFonts w:eastAsia="Calibri"/>
                <w:sz w:val="22"/>
                <w:szCs w:val="22"/>
              </w:rPr>
              <w:t>Автобус с наличием багажного отделения</w:t>
            </w:r>
            <w:r>
              <w:rPr>
                <w:rFonts w:eastAsia="Calibri"/>
                <w:sz w:val="22"/>
                <w:szCs w:val="22"/>
              </w:rPr>
              <w:t xml:space="preserve"> </w:t>
            </w:r>
            <w:r w:rsidRPr="00876D50">
              <w:rPr>
                <w:rFonts w:eastAsia="Calibri"/>
                <w:color w:val="FF0000"/>
                <w:sz w:val="22"/>
                <w:szCs w:val="22"/>
              </w:rPr>
              <w:t>(</w:t>
            </w:r>
            <w:r w:rsidRPr="00876D50">
              <w:rPr>
                <w:rFonts w:eastAsia="Calibri"/>
                <w:b/>
                <w:color w:val="FF0000"/>
                <w:sz w:val="22"/>
                <w:szCs w:val="22"/>
                <w:lang w:eastAsia="en-US"/>
              </w:rPr>
              <w:t>марка)</w:t>
            </w:r>
          </w:p>
        </w:tc>
        <w:tc>
          <w:tcPr>
            <w:tcW w:w="2410" w:type="dxa"/>
            <w:tcBorders>
              <w:top w:val="single" w:sz="4" w:space="0" w:color="auto"/>
              <w:left w:val="single" w:sz="4" w:space="0" w:color="auto"/>
              <w:bottom w:val="single" w:sz="4" w:space="0" w:color="auto"/>
              <w:right w:val="single" w:sz="4" w:space="0" w:color="auto"/>
            </w:tcBorders>
            <w:vAlign w:val="center"/>
          </w:tcPr>
          <w:p w14:paraId="3F92E140" w14:textId="7B08A8DE" w:rsidR="00791699" w:rsidRPr="00E72897" w:rsidRDefault="00791699" w:rsidP="00E72897">
            <w:pPr>
              <w:widowControl w:val="0"/>
              <w:jc w:val="center"/>
              <w:rPr>
                <w:color w:val="212529"/>
                <w:spacing w:val="3"/>
                <w:sz w:val="24"/>
                <w:szCs w:val="24"/>
                <w:shd w:val="clear" w:color="auto" w:fill="FFFFFF"/>
                <w:lang w:eastAsia="en-US"/>
              </w:rPr>
            </w:pPr>
            <w:r w:rsidRPr="00E72897">
              <w:rPr>
                <w:color w:val="212529"/>
                <w:spacing w:val="3"/>
                <w:sz w:val="24"/>
                <w:szCs w:val="24"/>
                <w:shd w:val="clear" w:color="auto" w:fill="FFFFFF"/>
                <w:lang w:eastAsia="en-US"/>
              </w:rPr>
              <w:t>≥ 2</w:t>
            </w:r>
            <w:r>
              <w:rPr>
                <w:color w:val="212529"/>
                <w:spacing w:val="3"/>
                <w:sz w:val="24"/>
                <w:szCs w:val="24"/>
                <w:shd w:val="clear" w:color="auto" w:fill="FFFFFF"/>
                <w:lang w:eastAsia="en-US"/>
              </w:rPr>
              <w:t>0</w:t>
            </w:r>
            <w:r w:rsidRPr="00E72897">
              <w:rPr>
                <w:color w:val="212529"/>
                <w:spacing w:val="3"/>
                <w:sz w:val="24"/>
                <w:szCs w:val="24"/>
                <w:shd w:val="clear" w:color="auto" w:fill="FFFFFF"/>
                <w:lang w:eastAsia="en-US"/>
              </w:rPr>
              <w:t xml:space="preserve"> чел</w:t>
            </w:r>
          </w:p>
          <w:p w14:paraId="4925B83E" w14:textId="7ED4CC63" w:rsidR="00791699" w:rsidRPr="005675B8" w:rsidRDefault="00791699" w:rsidP="00934DB6">
            <w:pPr>
              <w:spacing w:line="228" w:lineRule="auto"/>
              <w:jc w:val="center"/>
              <w:rPr>
                <w:rFonts w:eastAsia="Calibri"/>
                <w:sz w:val="22"/>
                <w:szCs w:val="22"/>
              </w:rPr>
            </w:pPr>
          </w:p>
        </w:tc>
        <w:tc>
          <w:tcPr>
            <w:tcW w:w="3544"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B075F93" w14:textId="77777777" w:rsidR="00791699" w:rsidRPr="0070431D" w:rsidRDefault="00791699" w:rsidP="00934DB6">
            <w:pPr>
              <w:suppressAutoHyphens/>
              <w:autoSpaceDN w:val="0"/>
              <w:jc w:val="center"/>
              <w:textAlignment w:val="baseline"/>
              <w:rPr>
                <w:sz w:val="22"/>
                <w:szCs w:val="22"/>
              </w:rPr>
            </w:pPr>
          </w:p>
        </w:tc>
      </w:tr>
    </w:tbl>
    <w:p w14:paraId="1B9E91F5" w14:textId="77777777" w:rsidR="007F60D2" w:rsidRDefault="007F60D2" w:rsidP="00C10FF5">
      <w:pPr>
        <w:keepNext/>
        <w:keepLines/>
        <w:widowControl w:val="0"/>
        <w:ind w:left="-180" w:firstLine="322"/>
        <w:jc w:val="both"/>
        <w:rPr>
          <w:sz w:val="24"/>
          <w:szCs w:val="24"/>
        </w:rPr>
      </w:pPr>
      <w:r>
        <w:rPr>
          <w:rFonts w:ascii="Times New Roman CYR" w:eastAsia="Calibri" w:hAnsi="Times New Roman CYR"/>
          <w:i/>
          <w:color w:val="FF0000"/>
          <w:sz w:val="22"/>
          <w:szCs w:val="22"/>
          <w:lang w:eastAsia="en-US"/>
        </w:rPr>
        <w:t>*</w:t>
      </w:r>
      <w:r w:rsidRPr="00E55565">
        <w:rPr>
          <w:rFonts w:ascii="Times New Roman CYR" w:eastAsia="Calibri" w:hAnsi="Times New Roman CYR"/>
          <w:i/>
          <w:color w:val="FF0000"/>
          <w:sz w:val="22"/>
          <w:szCs w:val="22"/>
          <w:lang w:eastAsia="en-US"/>
        </w:rPr>
        <w:t>Сумма единичных расценок используется для сравнения коммерческих предложений участников</w:t>
      </w:r>
      <w:r w:rsidRPr="00D47553">
        <w:rPr>
          <w:sz w:val="24"/>
          <w:szCs w:val="24"/>
        </w:rPr>
        <w:t xml:space="preserve"> </w:t>
      </w:r>
    </w:p>
    <w:p w14:paraId="023F9292" w14:textId="77777777" w:rsidR="005F44AB" w:rsidRDefault="005F44AB" w:rsidP="00C10FF5">
      <w:pPr>
        <w:keepNext/>
        <w:keepLines/>
        <w:widowControl w:val="0"/>
        <w:ind w:left="-180" w:firstLine="322"/>
        <w:jc w:val="both"/>
        <w:rPr>
          <w:sz w:val="24"/>
          <w:szCs w:val="24"/>
        </w:rPr>
      </w:pPr>
    </w:p>
    <w:p w14:paraId="230A5495" w14:textId="59878425" w:rsidR="002161A4" w:rsidRPr="003C7631" w:rsidRDefault="002161A4" w:rsidP="00C10FF5">
      <w:pPr>
        <w:keepNext/>
        <w:keepLines/>
        <w:widowControl w:val="0"/>
        <w:ind w:left="-180" w:firstLine="322"/>
        <w:jc w:val="both"/>
        <w:rPr>
          <w:i/>
          <w:color w:val="FF0000"/>
          <w:sz w:val="24"/>
          <w:szCs w:val="24"/>
        </w:rPr>
      </w:pPr>
      <w:r w:rsidRPr="003C7631">
        <w:rPr>
          <w:i/>
          <w:color w:val="FF0000"/>
          <w:sz w:val="24"/>
          <w:szCs w:val="24"/>
        </w:rPr>
        <w:t>**Если будет предложено больше одной марки транспортного средства на одну единицу техники</w:t>
      </w:r>
      <w:r w:rsidR="005F44AB" w:rsidRPr="003C7631">
        <w:rPr>
          <w:i/>
          <w:color w:val="FF0000"/>
          <w:sz w:val="24"/>
          <w:szCs w:val="24"/>
        </w:rPr>
        <w:t>, предпочтение будет отдано транспортному средству с наименьшей стоимостью.</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078DD25E" w14:textId="77777777" w:rsidR="00D47553" w:rsidRPr="00D47553" w:rsidRDefault="00D47553" w:rsidP="00D47553">
      <w:pPr>
        <w:jc w:val="both"/>
        <w:rPr>
          <w:sz w:val="24"/>
          <w:szCs w:val="24"/>
        </w:rPr>
      </w:pPr>
      <w:r w:rsidRPr="00D47553">
        <w:rPr>
          <w:sz w:val="24"/>
          <w:szCs w:val="24"/>
        </w:rPr>
        <w:t>Условия оплаты: ________________________________________</w:t>
      </w:r>
    </w:p>
    <w:p w14:paraId="66CC1EF0" w14:textId="77777777" w:rsidR="00D47553" w:rsidRPr="00D47553" w:rsidRDefault="00D47553" w:rsidP="00D47553">
      <w:pPr>
        <w:jc w:val="both"/>
        <w:rPr>
          <w:sz w:val="24"/>
          <w:szCs w:val="24"/>
        </w:rPr>
      </w:pPr>
      <w:r w:rsidRPr="00D47553">
        <w:rPr>
          <w:sz w:val="24"/>
          <w:szCs w:val="24"/>
        </w:rPr>
        <w:t xml:space="preserve">Условия </w:t>
      </w:r>
      <w:r w:rsidR="0070431D">
        <w:rPr>
          <w:sz w:val="24"/>
          <w:szCs w:val="24"/>
        </w:rPr>
        <w:t>оказания услуг</w:t>
      </w:r>
      <w:r w:rsidRPr="00D47553">
        <w:rPr>
          <w:sz w:val="24"/>
          <w:szCs w:val="24"/>
        </w:rPr>
        <w:t>: _______________________________________</w:t>
      </w:r>
    </w:p>
    <w:p w14:paraId="3FCBBF45" w14:textId="77777777" w:rsidR="00D47553" w:rsidRPr="00D47553" w:rsidRDefault="00D47553" w:rsidP="00D47553">
      <w:pPr>
        <w:suppressAutoHyphens/>
        <w:jc w:val="both"/>
        <w:rPr>
          <w:sz w:val="24"/>
          <w:szCs w:val="24"/>
        </w:rPr>
      </w:pPr>
      <w:r w:rsidRPr="00D47553">
        <w:rPr>
          <w:sz w:val="24"/>
          <w:szCs w:val="24"/>
        </w:rPr>
        <w:t xml:space="preserve">Срок </w:t>
      </w:r>
      <w:r w:rsidR="0070431D">
        <w:rPr>
          <w:sz w:val="24"/>
          <w:szCs w:val="24"/>
        </w:rPr>
        <w:t>оказания услуг</w:t>
      </w:r>
      <w:r w:rsidRPr="00D47553">
        <w:rPr>
          <w:sz w:val="24"/>
          <w:szCs w:val="24"/>
        </w:rPr>
        <w:t xml:space="preserve">:_____________________________________ </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lastRenderedPageBreak/>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lastRenderedPageBreak/>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3600F101"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Ознакомлен с Антикоррупционной политикой АО «Социальная сфера-М», утвержденной решением Правления ПАО «Россети Волга» (</w:t>
      </w:r>
      <w:r w:rsidR="00236DBA" w:rsidRPr="00D47553">
        <w:rPr>
          <w:sz w:val="24"/>
          <w:szCs w:val="24"/>
        </w:rPr>
        <w:t xml:space="preserve">протокол от </w:t>
      </w:r>
      <w:r w:rsidR="00236DBA">
        <w:rPr>
          <w:sz w:val="24"/>
          <w:szCs w:val="24"/>
        </w:rPr>
        <w:t>10</w:t>
      </w:r>
      <w:r w:rsidR="00236DBA" w:rsidRPr="00D47553">
        <w:rPr>
          <w:sz w:val="24"/>
          <w:szCs w:val="24"/>
        </w:rPr>
        <w:t>.1</w:t>
      </w:r>
      <w:r w:rsidR="00236DBA">
        <w:rPr>
          <w:sz w:val="24"/>
          <w:szCs w:val="24"/>
        </w:rPr>
        <w:t>1</w:t>
      </w:r>
      <w:r w:rsidR="00236DBA" w:rsidRPr="00D47553">
        <w:rPr>
          <w:sz w:val="24"/>
          <w:szCs w:val="24"/>
        </w:rPr>
        <w:t>.202</w:t>
      </w:r>
      <w:r w:rsidR="00236DBA">
        <w:rPr>
          <w:sz w:val="24"/>
          <w:szCs w:val="24"/>
        </w:rPr>
        <w:t>3</w:t>
      </w:r>
      <w:r w:rsidR="00236DBA" w:rsidRPr="00D47553">
        <w:rPr>
          <w:sz w:val="24"/>
          <w:szCs w:val="24"/>
        </w:rPr>
        <w:t xml:space="preserve"> № </w:t>
      </w:r>
      <w:r w:rsidR="00236DBA">
        <w:rPr>
          <w:sz w:val="24"/>
          <w:szCs w:val="24"/>
        </w:rPr>
        <w:t>513</w:t>
      </w:r>
      <w:r w:rsidR="00236DBA" w:rsidRPr="00D47553">
        <w:rPr>
          <w:sz w:val="24"/>
          <w:szCs w:val="24"/>
        </w:rPr>
        <w:t>/202</w:t>
      </w:r>
      <w:r w:rsidR="00236DBA">
        <w:rPr>
          <w:sz w:val="24"/>
          <w:szCs w:val="24"/>
        </w:rPr>
        <w:t>3</w:t>
      </w:r>
      <w:r w:rsidR="00236DBA" w:rsidRPr="00D47553">
        <w:rPr>
          <w:sz w:val="24"/>
          <w:szCs w:val="24"/>
        </w:rPr>
        <w:t>г</w:t>
      </w:r>
      <w:r w:rsidRPr="00D47553">
        <w:rPr>
          <w:sz w:val="24"/>
          <w:szCs w:val="24"/>
        </w:rPr>
        <w:t>.)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128A5DA5" w14:textId="77777777" w:rsidR="00442181" w:rsidRPr="00442181" w:rsidRDefault="00442181" w:rsidP="00442181">
      <w:pPr>
        <w:widowControl w:val="0"/>
        <w:jc w:val="both"/>
        <w:rPr>
          <w:i/>
          <w:color w:val="000000"/>
          <w:sz w:val="24"/>
          <w:szCs w:val="24"/>
        </w:rPr>
      </w:pPr>
      <w:r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pt;height:345.45pt" o:ole="">
            <v:imagedata r:id="rId12" o:title=""/>
          </v:shape>
          <o:OLEObject Type="Embed" ProgID="AcroExch.Document.DC" ShapeID="_x0000_i1025" DrawAspect="Content" ObjectID="_1769497578"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1E87E8E1"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A80478">
        <w:rPr>
          <w:rFonts w:eastAsia="Calibri"/>
          <w:b/>
          <w:snapToGrid w:val="0"/>
          <w:color w:val="000000"/>
          <w:sz w:val="24"/>
          <w:szCs w:val="24"/>
        </w:rPr>
        <w:t>4</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1A09B234"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00742FEE" w:rsidRPr="00742FEE">
        <w:rPr>
          <w:rFonts w:eastAsia="Calibri"/>
          <w:sz w:val="24"/>
          <w:szCs w:val="24"/>
        </w:rPr>
        <w:t xml:space="preserve"> </w:t>
      </w:r>
      <w:r w:rsidR="00742FEE">
        <w:rPr>
          <w:rFonts w:eastAsia="Calibri"/>
          <w:sz w:val="24"/>
          <w:szCs w:val="24"/>
        </w:rPr>
        <w:t xml:space="preserve">Акционерному обществу «Социальная сфера-М», </w:t>
      </w:r>
      <w:r w:rsidR="00742FEE" w:rsidRPr="00442181">
        <w:rPr>
          <w:rFonts w:eastAsia="Calibri"/>
          <w:sz w:val="24"/>
          <w:szCs w:val="24"/>
        </w:rPr>
        <w:t>зарегистрированному по адресу:</w:t>
      </w:r>
      <w:r w:rsidR="00742FEE" w:rsidRPr="00442181">
        <w:rPr>
          <w:spacing w:val="-5"/>
          <w:sz w:val="24"/>
          <w:szCs w:val="24"/>
        </w:rPr>
        <w:t xml:space="preserve"> 43000</w:t>
      </w:r>
      <w:r w:rsidR="00742FEE">
        <w:rPr>
          <w:spacing w:val="-5"/>
          <w:sz w:val="24"/>
          <w:szCs w:val="24"/>
        </w:rPr>
        <w:t>3</w:t>
      </w:r>
      <w:r w:rsidR="00742FEE" w:rsidRPr="00442181">
        <w:rPr>
          <w:spacing w:val="-5"/>
          <w:sz w:val="24"/>
          <w:szCs w:val="24"/>
        </w:rPr>
        <w:t xml:space="preserve">, Республика Мордовия, г. Саранск, </w:t>
      </w:r>
      <w:r w:rsidR="00742FEE">
        <w:rPr>
          <w:spacing w:val="-5"/>
          <w:sz w:val="24"/>
          <w:szCs w:val="24"/>
        </w:rPr>
        <w:t>пр.Ленина, д.50,</w:t>
      </w:r>
      <w:r w:rsidRPr="00442181">
        <w:rPr>
          <w:rFonts w:eastAsia="Calibri"/>
          <w:color w:val="000000"/>
          <w:sz w:val="24"/>
          <w:szCs w:val="24"/>
        </w:rPr>
        <w:t xml:space="preserve">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xml:space="preserve">, </w:t>
      </w:r>
      <w:r w:rsidRPr="00442181">
        <w:rPr>
          <w:rFonts w:eastAsia="Calibri"/>
          <w:color w:val="000000"/>
          <w:sz w:val="24"/>
          <w:szCs w:val="24"/>
        </w:rPr>
        <w:t xml:space="preserve">-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7777777" w:rsidR="006E73FB" w:rsidRPr="006E73FB" w:rsidRDefault="006E73FB" w:rsidP="006E73FB">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20</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21</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22</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77777777" w:rsidR="006E73FB" w:rsidRPr="006E73FB" w:rsidRDefault="006E73FB" w:rsidP="006E73FB">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23</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402D2" w14:textId="77777777" w:rsidR="00364496" w:rsidRDefault="00364496">
      <w:r>
        <w:separator/>
      </w:r>
    </w:p>
  </w:endnote>
  <w:endnote w:type="continuationSeparator" w:id="0">
    <w:p w14:paraId="0A6C8863" w14:textId="77777777" w:rsidR="00364496" w:rsidRDefault="00364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52651" w14:textId="77777777" w:rsidR="00364496" w:rsidRDefault="00364496">
      <w:r>
        <w:separator/>
      </w:r>
    </w:p>
  </w:footnote>
  <w:footnote w:type="continuationSeparator" w:id="0">
    <w:p w14:paraId="4C73F51B" w14:textId="77777777" w:rsidR="00364496" w:rsidRDefault="00364496">
      <w:r>
        <w:continuationSeparator/>
      </w:r>
    </w:p>
  </w:footnote>
  <w:footnote w:id="1">
    <w:p w14:paraId="18B52422" w14:textId="77777777" w:rsidR="00364496" w:rsidRPr="004F7D41" w:rsidRDefault="00364496"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364496" w:rsidRDefault="00364496"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364496" w:rsidRPr="004F7D41" w:rsidRDefault="00364496"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364496" w:rsidRPr="00AE0979" w:rsidRDefault="00364496"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364496" w:rsidRPr="00AE0979" w:rsidRDefault="00364496"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364496" w:rsidRPr="00AE0979" w:rsidRDefault="00364496"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364496" w:rsidRPr="00AE0979" w:rsidRDefault="00364496"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364496" w:rsidRDefault="00364496"/>
    <w:p w14:paraId="62B5D32C" w14:textId="77777777" w:rsidR="00364496" w:rsidRPr="00AE0979" w:rsidRDefault="00364496" w:rsidP="00972090">
      <w:pPr>
        <w:pStyle w:val="af8"/>
        <w:rPr>
          <w:rFonts w:ascii="Times New Roman" w:hAnsi="Times New Roman" w:cs="Times New Roman"/>
          <w:sz w:val="18"/>
        </w:rPr>
      </w:pPr>
    </w:p>
  </w:footnote>
  <w:footnote w:id="8">
    <w:p w14:paraId="74732FE6" w14:textId="77777777" w:rsidR="00364496" w:rsidRPr="00FA400D" w:rsidRDefault="00364496"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2"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4"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5"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4"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5"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6"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7"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0"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1"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2"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5"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5"/>
  </w:num>
  <w:num w:numId="6">
    <w:abstractNumId w:val="105"/>
  </w:num>
  <w:num w:numId="7">
    <w:abstractNumId w:val="89"/>
  </w:num>
  <w:num w:numId="8">
    <w:abstractNumId w:val="93"/>
  </w:num>
  <w:num w:numId="9">
    <w:abstractNumId w:val="102"/>
  </w:num>
  <w:num w:numId="10">
    <w:abstractNumId w:val="132"/>
  </w:num>
  <w:num w:numId="11">
    <w:abstractNumId w:val="14"/>
  </w:num>
  <w:num w:numId="12">
    <w:abstractNumId w:val="92"/>
  </w:num>
  <w:num w:numId="13">
    <w:abstractNumId w:val="56"/>
  </w:num>
  <w:num w:numId="14">
    <w:abstractNumId w:val="41"/>
  </w:num>
  <w:num w:numId="15">
    <w:abstractNumId w:val="45"/>
  </w:num>
  <w:num w:numId="16">
    <w:abstractNumId w:val="146"/>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6"/>
  </w:num>
  <w:num w:numId="28">
    <w:abstractNumId w:val="129"/>
  </w:num>
  <w:num w:numId="29">
    <w:abstractNumId w:val="76"/>
  </w:num>
  <w:num w:numId="30">
    <w:abstractNumId w:val="144"/>
  </w:num>
  <w:num w:numId="31">
    <w:abstractNumId w:val="131"/>
  </w:num>
  <w:num w:numId="32">
    <w:abstractNumId w:val="98"/>
  </w:num>
  <w:num w:numId="33">
    <w:abstractNumId w:val="100"/>
  </w:num>
  <w:num w:numId="34">
    <w:abstractNumId w:val="38"/>
  </w:num>
  <w:num w:numId="35">
    <w:abstractNumId w:val="137"/>
  </w:num>
  <w:num w:numId="36">
    <w:abstractNumId w:val="20"/>
  </w:num>
  <w:num w:numId="37">
    <w:abstractNumId w:val="101"/>
  </w:num>
  <w:num w:numId="38">
    <w:abstractNumId w:val="136"/>
  </w:num>
  <w:num w:numId="39">
    <w:abstractNumId w:val="110"/>
  </w:num>
  <w:num w:numId="40">
    <w:abstractNumId w:val="109"/>
  </w:num>
  <w:num w:numId="41">
    <w:abstractNumId w:val="43"/>
  </w:num>
  <w:num w:numId="42">
    <w:abstractNumId w:val="99"/>
  </w:num>
  <w:num w:numId="43">
    <w:abstractNumId w:val="32"/>
  </w:num>
  <w:num w:numId="44">
    <w:abstractNumId w:val="135"/>
  </w:num>
  <w:num w:numId="45">
    <w:abstractNumId w:val="90"/>
  </w:num>
  <w:num w:numId="46">
    <w:abstractNumId w:val="57"/>
  </w:num>
  <w:num w:numId="47">
    <w:abstractNumId w:val="60"/>
  </w:num>
  <w:num w:numId="48">
    <w:abstractNumId w:val="77"/>
  </w:num>
  <w:num w:numId="49">
    <w:abstractNumId w:val="118"/>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2"/>
  </w:num>
  <w:num w:numId="58">
    <w:abstractNumId w:val="108"/>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3"/>
  </w:num>
  <w:num w:numId="62">
    <w:abstractNumId w:val="130"/>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8"/>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3"/>
  </w:num>
  <w:num w:numId="85">
    <w:abstractNumId w:val="74"/>
  </w:num>
  <w:num w:numId="86">
    <w:abstractNumId w:val="123"/>
  </w:num>
  <w:num w:numId="87">
    <w:abstractNumId w:val="26"/>
  </w:num>
  <w:num w:numId="88">
    <w:abstractNumId w:val="68"/>
  </w:num>
  <w:num w:numId="89">
    <w:abstractNumId w:val="19"/>
  </w:num>
  <w:num w:numId="90">
    <w:abstractNumId w:val="107"/>
  </w:num>
  <w:num w:numId="91">
    <w:abstractNumId w:val="140"/>
  </w:num>
  <w:num w:numId="92">
    <w:abstractNumId w:val="69"/>
  </w:num>
  <w:num w:numId="93">
    <w:abstractNumId w:val="44"/>
  </w:num>
  <w:num w:numId="94">
    <w:abstractNumId w:val="21"/>
  </w:num>
  <w:num w:numId="95">
    <w:abstractNumId w:val="119"/>
  </w:num>
  <w:num w:numId="96">
    <w:abstractNumId w:val="49"/>
  </w:num>
  <w:num w:numId="97">
    <w:abstractNumId w:val="50"/>
  </w:num>
  <w:num w:numId="98">
    <w:abstractNumId w:val="121"/>
  </w:num>
  <w:num w:numId="99">
    <w:abstractNumId w:val="139"/>
  </w:num>
  <w:num w:numId="100">
    <w:abstractNumId w:val="71"/>
  </w:num>
  <w:num w:numId="101">
    <w:abstractNumId w:val="29"/>
  </w:num>
  <w:num w:numId="102">
    <w:abstractNumId w:val="124"/>
  </w:num>
  <w:num w:numId="103">
    <w:abstractNumId w:val="6"/>
  </w:num>
  <w:num w:numId="104">
    <w:abstractNumId w:val="61"/>
  </w:num>
  <w:num w:numId="105">
    <w:abstractNumId w:val="116"/>
  </w:num>
  <w:num w:numId="106">
    <w:abstractNumId w:val="117"/>
  </w:num>
  <w:num w:numId="107">
    <w:abstractNumId w:val="96"/>
  </w:num>
  <w:num w:numId="108">
    <w:abstractNumId w:val="147"/>
  </w:num>
  <w:num w:numId="109">
    <w:abstractNumId w:val="128"/>
  </w:num>
  <w:num w:numId="110">
    <w:abstractNumId w:val="125"/>
  </w:num>
  <w:num w:numId="111">
    <w:abstractNumId w:val="122"/>
  </w:num>
  <w:num w:numId="112">
    <w:abstractNumId w:val="120"/>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2"/>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5"/>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4"/>
  </w:num>
  <w:num w:numId="126">
    <w:abstractNumId w:val="114"/>
  </w:num>
  <w:num w:numId="127">
    <w:abstractNumId w:val="143"/>
  </w:num>
  <w:num w:numId="128">
    <w:abstractNumId w:val="134"/>
  </w:num>
  <w:num w:numId="129">
    <w:abstractNumId w:val="126"/>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1"/>
  </w:num>
  <w:num w:numId="137">
    <w:abstractNumId w:val="95"/>
  </w:num>
  <w:num w:numId="138">
    <w:abstractNumId w:val="33"/>
  </w:num>
  <w:num w:numId="139">
    <w:abstractNumId w:val="104"/>
  </w:num>
  <w:num w:numId="140">
    <w:abstractNumId w:val="67"/>
  </w:num>
  <w:num w:numId="141">
    <w:abstractNumId w:val="27"/>
  </w:num>
  <w:num w:numId="142">
    <w:abstractNumId w:val="15"/>
  </w:num>
  <w:num w:numId="143">
    <w:abstractNumId w:val="97"/>
  </w:num>
  <w:num w:numId="144">
    <w:abstractNumId w:val="127"/>
  </w:num>
  <w:num w:numId="145">
    <w:abstractNumId w:val="88"/>
  </w:num>
  <w:num w:numId="146">
    <w:abstractNumId w:val="25"/>
  </w:num>
  <w:num w:numId="147">
    <w:abstractNumId w:val="36"/>
  </w:num>
  <w:num w:numId="148">
    <w:abstractNumId w:val="1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86A85"/>
    <w:rsid w:val="000944CB"/>
    <w:rsid w:val="000D0A20"/>
    <w:rsid w:val="000D1A6C"/>
    <w:rsid w:val="000E117F"/>
    <w:rsid w:val="000E4F3F"/>
    <w:rsid w:val="000F0EEB"/>
    <w:rsid w:val="000F23A3"/>
    <w:rsid w:val="000F3A4D"/>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3102B"/>
    <w:rsid w:val="00236DBA"/>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3320B"/>
    <w:rsid w:val="00333AB3"/>
    <w:rsid w:val="00347D60"/>
    <w:rsid w:val="00363FB0"/>
    <w:rsid w:val="00364496"/>
    <w:rsid w:val="0037536A"/>
    <w:rsid w:val="00382A87"/>
    <w:rsid w:val="00392099"/>
    <w:rsid w:val="003A1605"/>
    <w:rsid w:val="003B6A07"/>
    <w:rsid w:val="003C7631"/>
    <w:rsid w:val="003C7D83"/>
    <w:rsid w:val="003D538F"/>
    <w:rsid w:val="003E08A1"/>
    <w:rsid w:val="003E64DC"/>
    <w:rsid w:val="003F0E06"/>
    <w:rsid w:val="00426681"/>
    <w:rsid w:val="00442181"/>
    <w:rsid w:val="004463C2"/>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75B8"/>
    <w:rsid w:val="00567CD2"/>
    <w:rsid w:val="0057004E"/>
    <w:rsid w:val="0057176A"/>
    <w:rsid w:val="005A249B"/>
    <w:rsid w:val="005B4006"/>
    <w:rsid w:val="005B6CB8"/>
    <w:rsid w:val="005C78F0"/>
    <w:rsid w:val="005C79C6"/>
    <w:rsid w:val="005D04FB"/>
    <w:rsid w:val="005F44AB"/>
    <w:rsid w:val="005F5236"/>
    <w:rsid w:val="005F5B05"/>
    <w:rsid w:val="0061013C"/>
    <w:rsid w:val="00617A61"/>
    <w:rsid w:val="00623304"/>
    <w:rsid w:val="006248CA"/>
    <w:rsid w:val="006437ED"/>
    <w:rsid w:val="00646279"/>
    <w:rsid w:val="006864C9"/>
    <w:rsid w:val="006C3777"/>
    <w:rsid w:val="006E548F"/>
    <w:rsid w:val="006E6EB7"/>
    <w:rsid w:val="006E73FB"/>
    <w:rsid w:val="0070431D"/>
    <w:rsid w:val="007059DA"/>
    <w:rsid w:val="00712F8D"/>
    <w:rsid w:val="00713366"/>
    <w:rsid w:val="0072249A"/>
    <w:rsid w:val="00734F67"/>
    <w:rsid w:val="00735E93"/>
    <w:rsid w:val="00740E7B"/>
    <w:rsid w:val="00742DA8"/>
    <w:rsid w:val="00742FEE"/>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810B95"/>
    <w:rsid w:val="00814FF0"/>
    <w:rsid w:val="008178EB"/>
    <w:rsid w:val="00824D96"/>
    <w:rsid w:val="008461DB"/>
    <w:rsid w:val="00854A86"/>
    <w:rsid w:val="00866554"/>
    <w:rsid w:val="0087118F"/>
    <w:rsid w:val="00876D50"/>
    <w:rsid w:val="00886779"/>
    <w:rsid w:val="00890631"/>
    <w:rsid w:val="0089789C"/>
    <w:rsid w:val="008A1EFF"/>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0478"/>
    <w:rsid w:val="00A8218A"/>
    <w:rsid w:val="00A90896"/>
    <w:rsid w:val="00A91096"/>
    <w:rsid w:val="00AA0408"/>
    <w:rsid w:val="00AA51AA"/>
    <w:rsid w:val="00AB6B7A"/>
    <w:rsid w:val="00AC582B"/>
    <w:rsid w:val="00AC59F8"/>
    <w:rsid w:val="00AC7177"/>
    <w:rsid w:val="00AD1642"/>
    <w:rsid w:val="00AD4076"/>
    <w:rsid w:val="00AE0979"/>
    <w:rsid w:val="00AF2870"/>
    <w:rsid w:val="00AF7209"/>
    <w:rsid w:val="00B06D08"/>
    <w:rsid w:val="00B15AE7"/>
    <w:rsid w:val="00B20910"/>
    <w:rsid w:val="00B36BB9"/>
    <w:rsid w:val="00B4401E"/>
    <w:rsid w:val="00B46FFF"/>
    <w:rsid w:val="00B539F8"/>
    <w:rsid w:val="00B557FF"/>
    <w:rsid w:val="00B559E9"/>
    <w:rsid w:val="00B60BBD"/>
    <w:rsid w:val="00B74CE1"/>
    <w:rsid w:val="00B80EBB"/>
    <w:rsid w:val="00BB2DAF"/>
    <w:rsid w:val="00BB739F"/>
    <w:rsid w:val="00BC49BC"/>
    <w:rsid w:val="00BD316A"/>
    <w:rsid w:val="00BD38FB"/>
    <w:rsid w:val="00BE5DFC"/>
    <w:rsid w:val="00BF52CF"/>
    <w:rsid w:val="00BF7AD2"/>
    <w:rsid w:val="00C02FD7"/>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61A6"/>
    <w:rsid w:val="00CA7AB0"/>
    <w:rsid w:val="00CB307B"/>
    <w:rsid w:val="00CC35A6"/>
    <w:rsid w:val="00CC3EC5"/>
    <w:rsid w:val="00CE09F8"/>
    <w:rsid w:val="00CE1B48"/>
    <w:rsid w:val="00CE302B"/>
    <w:rsid w:val="00CE3D0C"/>
    <w:rsid w:val="00CE3EBA"/>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234B"/>
    <w:rsid w:val="00D92A81"/>
    <w:rsid w:val="00DA119B"/>
    <w:rsid w:val="00DA76FB"/>
    <w:rsid w:val="00DC2DA5"/>
    <w:rsid w:val="00DC62E3"/>
    <w:rsid w:val="00DE3EC1"/>
    <w:rsid w:val="00DE4864"/>
    <w:rsid w:val="00DF4568"/>
    <w:rsid w:val="00E03359"/>
    <w:rsid w:val="00E218C3"/>
    <w:rsid w:val="00E32972"/>
    <w:rsid w:val="00E4264F"/>
    <w:rsid w:val="00E53C52"/>
    <w:rsid w:val="00E55565"/>
    <w:rsid w:val="00E6510F"/>
    <w:rsid w:val="00E675EF"/>
    <w:rsid w:val="00E72897"/>
    <w:rsid w:val="00EA4CF1"/>
    <w:rsid w:val="00EE5653"/>
    <w:rsid w:val="00F07AD3"/>
    <w:rsid w:val="00F21609"/>
    <w:rsid w:val="00F32B65"/>
    <w:rsid w:val="00F34921"/>
    <w:rsid w:val="00F52F3D"/>
    <w:rsid w:val="00F60F35"/>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37853-82D6-4595-AA01-B4826D60C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42</Pages>
  <Words>18457</Words>
  <Characters>105208</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7</cp:revision>
  <dcterms:created xsi:type="dcterms:W3CDTF">2023-02-16T13:07:00Z</dcterms:created>
  <dcterms:modified xsi:type="dcterms:W3CDTF">2024-02-15T07:20:00Z</dcterms:modified>
</cp:coreProperties>
</file>